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河北女子职业技术学院</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中华人民共和国</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河北女子职业技术学院</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(一）</w:t>
      </w:r>
      <w:r>
        <w:rPr>
          <w:rFonts w:ascii="Times New Roman" w:hAnsi="Calibri" w:eastAsia="方正仿宋_GBK" w:cs="Times New Roman"/>
          <w:sz w:val="32"/>
          <w:szCs w:val="32"/>
        </w:rPr>
        <w:t>强化党建及思想政治工作，深入学习贯彻习近平总书记关于高等教育党建的重要论述和</w:t>
      </w:r>
      <w:r>
        <w:rPr>
          <w:rFonts w:hint="eastAsia" w:ascii="Times New Roman" w:hAnsi="Calibri" w:eastAsia="方正仿宋_GBK" w:cs="Times New Roman"/>
          <w:sz w:val="32"/>
          <w:szCs w:val="32"/>
          <w:lang w:eastAsia="zh-CN"/>
        </w:rPr>
        <w:t>党的</w:t>
      </w:r>
      <w:r>
        <w:rPr>
          <w:rFonts w:ascii="Times New Roman" w:hAnsi="Calibri" w:eastAsia="方正仿宋_GBK" w:cs="Times New Roman"/>
          <w:sz w:val="32"/>
          <w:szCs w:val="32"/>
        </w:rPr>
        <w:t>十九届四中全会精神，牢牢把握办学治校正确方向，开展党支部“双带头人”培育工程，推动思想政治工作贯穿教学体系、教材体系、管理体系，争创党建示范校。</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（二）</w:t>
      </w:r>
      <w:r>
        <w:rPr>
          <w:rFonts w:ascii="Times New Roman" w:hAnsi="Calibri" w:eastAsia="方正仿宋_GBK" w:cs="Times New Roman"/>
          <w:sz w:val="32"/>
          <w:szCs w:val="32"/>
        </w:rPr>
        <w:t>加强师资队伍建设。以项目引领、任务驱动为导向，充分发挥教师的专长、潜能和创造力，促进教育教学质量的整体提升。落实新时代教师职业行为准则，突出全员全方位全过程师德养成教育。对教师进行分层次培养和管理。通过实施“外引内培、名师打造、双师素质提升”等建设工程，进一步加大高层次人才的培养和引进力度，提升教师队伍“双师化”水平，大力推进教师素质省培项目工作。</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（三）</w:t>
      </w:r>
      <w:r>
        <w:rPr>
          <w:rFonts w:ascii="Times New Roman" w:hAnsi="Calibri" w:eastAsia="方正仿宋_GBK" w:cs="Times New Roman"/>
          <w:sz w:val="32"/>
          <w:szCs w:val="32"/>
        </w:rPr>
        <w:t>加强专业和课程体系建设。以区域经济发展需求为导向，调整优化专业结构，科学制订学院各专业人才培养方案，建立专业及人才培养方案随产业发展、依培养对象的动态调整机制；进行基于工作过程系统化的课程体系改革，调整课程结构、更新课程内容，实现专业与产业的精准对接、课程内容与职业标准的精准对接。</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（四）</w:t>
      </w:r>
      <w:r>
        <w:rPr>
          <w:rFonts w:ascii="Times New Roman" w:hAnsi="Calibri" w:eastAsia="方正仿宋_GBK" w:cs="Times New Roman"/>
          <w:sz w:val="32"/>
          <w:szCs w:val="32"/>
        </w:rPr>
        <w:t>推进创新发展行动计划项目和“双高”专业群建设。制定并依据项目实施方案，明确任务、夯实责任、扎实推进，着力扩大优质教育资源、加强技术技能积累、探索体制机制创新，通过项目实施不断强化内涵建设和高质量发展。</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（五）</w:t>
      </w:r>
      <w:r>
        <w:rPr>
          <w:rFonts w:ascii="Times New Roman" w:hAnsi="Calibri" w:eastAsia="方正仿宋_GBK" w:cs="Times New Roman"/>
          <w:sz w:val="32"/>
          <w:szCs w:val="32"/>
        </w:rPr>
        <w:t>推进 4 个骨干专业教学资源库建设，强化优质资源共建共享，为建设国家专业教学资源库打好基础；开发推广使用新型活页式和工作手册式教材；加大网络课程、精品在线开放课程的开发和使用，建设16门慕课和60门校级小规模在线课程。</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（六）</w:t>
      </w:r>
      <w:r>
        <w:rPr>
          <w:rFonts w:ascii="Times New Roman" w:hAnsi="Calibri" w:eastAsia="方正仿宋_GBK" w:cs="Times New Roman"/>
          <w:sz w:val="32"/>
          <w:szCs w:val="32"/>
        </w:rPr>
        <w:t>全面推行现代学徒制和企业新型学徒制，加快学历证书和职业技能等级证书互通衔接，做好“1+X”老年照护证书制度试点工作，探索职业教育“学分银行”机制，尝试学习成果的认定、积累和转换，满足学生多层次、多类型、个性化的学习需求。</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（七）</w:t>
      </w:r>
      <w:r>
        <w:rPr>
          <w:rFonts w:ascii="Times New Roman" w:hAnsi="Calibri" w:eastAsia="方正仿宋_GBK" w:cs="Times New Roman"/>
          <w:sz w:val="32"/>
          <w:szCs w:val="32"/>
        </w:rPr>
        <w:t>加强科研工作，提升教师科研能力与水平，争取高级别、高层次项目的申报，加大女性职业教育理论研究力度，突出具有女性特色的教育教学成果培育。承办好会计、服装、养老服务与管理、计算机、无人机等专业省级技能大赛。</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（八）</w:t>
      </w:r>
      <w:r>
        <w:rPr>
          <w:rFonts w:ascii="Times New Roman" w:hAnsi="Calibri" w:eastAsia="方正仿宋_GBK" w:cs="Times New Roman"/>
          <w:sz w:val="32"/>
          <w:szCs w:val="32"/>
        </w:rPr>
        <w:t>继续对接在行业内有影响力的大企业，推进校企在人才培养方案制订、专业建设、课程开发、教材开发、实习实训等方面开展深层次合作，实现资源共享和优势互补；推进相关专业“课岗证赛一体化”项目的落地执行和集团化办学、国家示范性职教集团建设。完善创新创业教育体系，提升众创空间服务能力，助推创业项目落地发展。</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（九）</w:t>
      </w:r>
      <w:r>
        <w:rPr>
          <w:rFonts w:ascii="Times New Roman" w:hAnsi="Calibri" w:eastAsia="方正仿宋_GBK" w:cs="Times New Roman"/>
          <w:sz w:val="32"/>
          <w:szCs w:val="32"/>
        </w:rPr>
        <w:t>深化女性特色教育，开发完善河北女院气质课、社交礼仪、形象管理、家居美化、茶道、厨艺等女性特色品牌课程，以特色课程塑造我院女大学生知性、高雅、平和、独立、坚强等新时代女性特质，使人才培养真正契合“德善真美”校训的精神内涵。</w:t>
      </w:r>
    </w:p>
    <w:p>
      <w:pPr>
        <w:spacing w:line="500" w:lineRule="exact"/>
        <w:ind w:firstLine="640" w:firstLineChars="200"/>
        <w:jc w:val="left"/>
        <w:rPr>
          <w:rFonts w:ascii="Times New Roman" w:hAnsi="Calibri" w:eastAsia="方正仿宋_GBK" w:cs="Times New Roman"/>
          <w:sz w:val="32"/>
          <w:szCs w:val="32"/>
        </w:rPr>
      </w:pPr>
      <w:r>
        <w:rPr>
          <w:rFonts w:hint="eastAsia" w:ascii="Times New Roman" w:hAnsi="Calibri" w:eastAsia="方正仿宋_GBK" w:cs="Times New Roman"/>
          <w:sz w:val="32"/>
          <w:szCs w:val="32"/>
        </w:rPr>
        <w:t>（十）</w:t>
      </w:r>
      <w:r>
        <w:rPr>
          <w:rFonts w:ascii="Times New Roman" w:hAnsi="Calibri" w:eastAsia="方正仿宋_GBK" w:cs="Times New Roman"/>
          <w:sz w:val="32"/>
          <w:szCs w:val="32"/>
        </w:rPr>
        <w:t>深化国际交流合作。继续加强海外友好合作院校关系，努力拓展师生交流互派渠道，不断增强国际化人文交流和学术交流，以国际视野助推专业内涵建设。</w:t>
      </w:r>
    </w:p>
    <w:p>
      <w:pPr>
        <w:spacing w:line="500" w:lineRule="exact"/>
        <w:ind w:firstLine="640" w:firstLineChars="200"/>
        <w:jc w:val="left"/>
        <w:rPr>
          <w:rFonts w:ascii="Times New Roman" w:hAnsi="Calibri" w:eastAsia="方正仿宋_GBK" w:cs="Times New Roman"/>
          <w:sz w:val="32"/>
          <w:szCs w:val="32"/>
        </w:rPr>
      </w:pPr>
    </w:p>
    <w:p>
      <w:pPr>
        <w:ind w:firstLine="640" w:firstLineChars="200"/>
        <w:rPr>
          <w:rFonts w:ascii="华文仿宋" w:hAnsi="华文仿宋" w:eastAsia="华文仿宋" w:cs="Times New Roman"/>
          <w:sz w:val="32"/>
          <w:szCs w:val="32"/>
        </w:rPr>
      </w:pPr>
    </w:p>
    <w:p>
      <w:pPr>
        <w:autoSpaceDE w:val="0"/>
        <w:autoSpaceDN w:val="0"/>
        <w:adjustRightInd w:val="0"/>
        <w:ind w:left="198" w:firstLine="640" w:firstLineChars="200"/>
        <w:jc w:val="left"/>
        <w:rPr>
          <w:rFonts w:ascii="方正仿宋_GBK" w:hAnsi="Times New Roman" w:eastAsia="方正仿宋_GBK" w:cs="Times New Roman"/>
          <w:b/>
          <w:sz w:val="32"/>
          <w:szCs w:val="32"/>
          <w:highlight w:val="yellow"/>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01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pPr>
          </w:p>
        </w:tc>
        <w:tc>
          <w:tcPr>
            <w:tcW w:w="1134"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3013"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59"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河北女子职业技术学院</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tc>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事业单位</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副厅级</w:t>
            </w:r>
          </w:p>
        </w:tc>
        <w:tc>
          <w:tcPr>
            <w:tcW w:w="301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定额定项补助</w:t>
            </w:r>
          </w:p>
        </w:tc>
      </w:tr>
    </w:tbl>
    <w:p>
      <w:pPr>
        <w:ind w:firstLine="640" w:firstLineChars="200"/>
        <w:rPr>
          <w:rFonts w:ascii="黑体" w:hAnsi="黑体" w:eastAsia="黑体" w:cs="Times New Roman"/>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rPr>
        <w:t>河北女子职业技术学院</w:t>
      </w:r>
      <w:r>
        <w:rPr>
          <w:rFonts w:ascii="Times New Roman" w:hAnsi="Times New Roman" w:eastAsia="方正仿宋_GBK" w:cs="Times New Roman"/>
          <w:sz w:val="32"/>
          <w:szCs w:val="32"/>
        </w:rPr>
        <w:t>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14053.89</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9161.54</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w:t>
      </w:r>
      <w:r>
        <w:rPr>
          <w:rFonts w:hint="eastAsia" w:ascii="华文仿宋" w:hAnsi="华文仿宋" w:eastAsia="华文仿宋" w:cs="Times New Roman"/>
          <w:sz w:val="32"/>
          <w:szCs w:val="32"/>
        </w:rPr>
        <w:t>（</w:t>
      </w:r>
      <w:r>
        <w:rPr>
          <w:rFonts w:hint="eastAsia" w:ascii="Times New Roman" w:hAnsi="Times New Roman" w:eastAsia="方正仿宋_GBK" w:cs="Times New Roman"/>
          <w:sz w:val="32"/>
          <w:szCs w:val="32"/>
        </w:rPr>
        <w:t>学宿费收入等</w:t>
      </w:r>
      <w:r>
        <w:rPr>
          <w:rFonts w:hint="eastAsia" w:ascii="华文仿宋" w:hAnsi="华文仿宋" w:eastAsia="华文仿宋" w:cs="Times New Roman"/>
          <w:sz w:val="32"/>
          <w:szCs w:val="32"/>
        </w:rPr>
        <w:t>）</w:t>
      </w:r>
      <w:r>
        <w:rPr>
          <w:rFonts w:hint="eastAsia" w:ascii="Times New Roman" w:hAnsi="Times New Roman" w:eastAsia="方正仿宋_GBK" w:cs="Times New Roman"/>
          <w:sz w:val="32"/>
          <w:szCs w:val="32"/>
        </w:rPr>
        <w:t>收入4882.35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，其他来源收入10万元。</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rPr>
        <w:t>河北女子职业技术学院</w:t>
      </w:r>
      <w:r>
        <w:rPr>
          <w:rFonts w:ascii="Times New Roman" w:hAnsi="Times New Roman" w:eastAsia="方正仿宋_GBK" w:cs="Times New Roman"/>
          <w:sz w:val="32"/>
          <w:szCs w:val="32"/>
        </w:rPr>
        <w:t>年度部门预算中支出预算的总体情况。20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14053.89</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4389.58</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3544.67万元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844.91万元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9664.31</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教学空间内涵提升项目、教学楼公寓楼粉刷项目、校园环境提升项目</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；其他支出10万元，主要是其他业务费用。</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spacing w:line="540" w:lineRule="exact"/>
        <w:ind w:firstLine="640" w:firstLineChars="200"/>
        <w:rPr>
          <w:rFonts w:ascii="仿宋_GB2312" w:hAnsi="黑体" w:eastAsia="仿宋_GB2312"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rPr>
        <w:t>14053.89</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rPr>
        <w:t>增加4637.97</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增加619.66</w:t>
      </w:r>
      <w:r>
        <w:rPr>
          <w:rFonts w:ascii="Times New Roman" w:hAnsi="Times New Roman" w:eastAsia="方正仿宋_GBK" w:cs="Times New Roman"/>
          <w:sz w:val="32"/>
          <w:szCs w:val="32"/>
        </w:rPr>
        <w:t>万元，主要</w:t>
      </w:r>
      <w:r>
        <w:rPr>
          <w:rFonts w:hint="eastAsia" w:ascii="Times New Roman" w:hAnsi="Times New Roman" w:eastAsia="方正仿宋_GBK" w:cs="Times New Roman"/>
          <w:sz w:val="32"/>
          <w:szCs w:val="32"/>
        </w:rPr>
        <w:t>增加人员经费和日常公用支出</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增加4018.31</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教学设备采购、课程资源建设投入等项目支出；其他支出没有变化</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2020年，我院运行经费共计安排844.91万元，主要用于日常维修、办公用房水电费、办公用房取暖费、办公用房物业管理费等日常运行支出。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年，我</w:t>
      </w:r>
      <w:r>
        <w:rPr>
          <w:rFonts w:hint="eastAsia" w:ascii="Times New Roman" w:hAnsi="Times New Roman" w:eastAsia="方正仿宋_GBK" w:cs="Times New Roman"/>
          <w:sz w:val="32"/>
          <w:szCs w:val="32"/>
        </w:rPr>
        <w:t>院</w:t>
      </w:r>
      <w:r>
        <w:rPr>
          <w:rFonts w:ascii="Times New Roman" w:hAnsi="Times New Roman" w:eastAsia="方正仿宋_GBK" w:cs="Times New Roman"/>
          <w:sz w:val="32"/>
          <w:szCs w:val="32"/>
        </w:rPr>
        <w:t>财政拨款“三公”经</w:t>
      </w:r>
      <w:r>
        <w:rPr>
          <w:rFonts w:ascii="Times New Roman" w:hAnsi="Times New Roman" w:eastAsia="方正仿宋_GBK" w:cs="Times New Roman"/>
          <w:b w:val="0"/>
          <w:bCs w:val="0"/>
          <w:sz w:val="32"/>
          <w:szCs w:val="32"/>
        </w:rPr>
        <w:t>费预算安</w:t>
      </w:r>
      <w:r>
        <w:rPr>
          <w:rFonts w:ascii="Times New Roman" w:hAnsi="Times New Roman" w:eastAsia="方正仿宋_GBK" w:cs="Times New Roman"/>
          <w:sz w:val="32"/>
          <w:szCs w:val="32"/>
        </w:rPr>
        <w:t>排</w:t>
      </w:r>
      <w:r>
        <w:rPr>
          <w:rFonts w:hint="eastAsia" w:ascii="Times New Roman" w:hAnsi="Times New Roman" w:eastAsia="方正仿宋_GBK" w:cs="Times New Roman"/>
          <w:sz w:val="32"/>
          <w:szCs w:val="32"/>
        </w:rPr>
        <w:t>54.65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b w:val="0"/>
          <w:bCs w:val="0"/>
          <w:sz w:val="32"/>
          <w:szCs w:val="32"/>
        </w:rPr>
        <w:t>全部由财政专户核拨资金安排</w:t>
      </w:r>
      <w:r>
        <w:rPr>
          <w:rFonts w:hint="eastAsia" w:ascii="Times New Roman" w:hAnsi="Times New Roman" w:eastAsia="方正仿宋_GBK" w:cs="Times New Roman"/>
          <w:b/>
          <w:bCs/>
          <w:sz w:val="32"/>
          <w:szCs w:val="32"/>
          <w:lang w:eastAsia="zh-CN"/>
        </w:rPr>
        <w:t>，</w:t>
      </w:r>
      <w:r>
        <w:rPr>
          <w:rFonts w:ascii="Times New Roman" w:hAnsi="Times New Roman" w:eastAsia="方正仿宋_GBK" w:cs="Times New Roman"/>
          <w:sz w:val="32"/>
          <w:szCs w:val="32"/>
        </w:rPr>
        <w:t>其中因公出国（境）费</w:t>
      </w:r>
      <w:r>
        <w:rPr>
          <w:rFonts w:hint="eastAsia" w:ascii="Times New Roman" w:hAnsi="Times New Roman" w:eastAsia="方正仿宋_GBK" w:cs="Times New Roman"/>
          <w:sz w:val="32"/>
          <w:szCs w:val="32"/>
        </w:rPr>
        <w:t>13.65</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w:t>
      </w:r>
      <w:bookmarkStart w:id="64" w:name="_GoBack"/>
      <w:bookmarkEnd w:id="64"/>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15</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相比持平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w:t>
      </w:r>
    </w:p>
    <w:p>
      <w:pPr>
        <w:spacing w:line="300" w:lineRule="exact"/>
        <w:jc w:val="left"/>
        <w:rPr>
          <w:rFonts w:ascii="Calibri" w:hAnsi="Calibri" w:eastAsia="宋体" w:cs="Times New Roman"/>
        </w:rPr>
      </w:pPr>
      <w:bookmarkStart w:id="0" w:name="_Toc471398463"/>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 ：</w:t>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以习近平新时代中国特色社会主义思想为指导，</w:t>
      </w:r>
      <w:r>
        <w:rPr>
          <w:rFonts w:hint="eastAsia" w:ascii="Times New Roman" w:hAnsi="Calibri" w:eastAsia="方正仿宋_GBK" w:cs="Times New Roman"/>
          <w:sz w:val="28"/>
          <w:lang w:eastAsia="zh-CN"/>
        </w:rPr>
        <w:t>全面深入</w:t>
      </w:r>
      <w:r>
        <w:rPr>
          <w:rFonts w:ascii="Times New Roman" w:hAnsi="Calibri" w:eastAsia="方正仿宋_GBK" w:cs="Times New Roman"/>
          <w:sz w:val="28"/>
        </w:rPr>
        <w:t>贯彻落实党的十九大精神，深入学习贯彻全国、全省教育大会和《国家职业教育改革实施方案》《中国教育现代化2035》《加快推进教育现代化实施方案》等重要文件精神，以立德树人为目标，以内涵建设为根本，以优质校建设和“双高”建设为抓手，立足高职教育发展形势、发展特色和发展优势，打造优势专业，推进课程改革，提升学生管理水平，改善办学条件，推动学院转型发展和高质量发展，打好职业教育提质升级攻坚战，全面开启新时代学院改革发展新征程。</w:t>
      </w:r>
      <w:r>
        <w:rPr>
          <w:rFonts w:hint="eastAsia" w:ascii="Times New Roman" w:hAnsi="Calibri" w:eastAsia="方正仿宋_GBK" w:cs="Times New Roman"/>
          <w:sz w:val="28"/>
        </w:rPr>
        <w:t xml:space="preserve">        </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建立适合区域经济社会发展新形势的专业结构、彰显特色的课程体系、富有活力的教师队伍体系、指导性强的科研转化体系，致力于培养适应生产、建设、管理、服务第一线需要的、具有良好职业道德的高素质技术技能型专业人才。</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1.</w:t>
      </w:r>
      <w:r>
        <w:rPr>
          <w:rFonts w:ascii="Times New Roman" w:hAnsi="Calibri" w:eastAsia="方正仿宋_GBK" w:cs="Times New Roman"/>
          <w:sz w:val="28"/>
        </w:rPr>
        <w:t xml:space="preserve">开办学历教育 </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绩效目标：承办高等学历教育，培养适应生产、建设、管理、服务第一线需要的德、智、体、美等全面发展的高等技术应用型人才和管理人才。</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绩效指标：学生就业率达到85%以上；学生满意度达到95%以上；学生毕业率达到95%以上。</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2.</w:t>
      </w:r>
      <w:r>
        <w:rPr>
          <w:rFonts w:ascii="Times New Roman" w:hAnsi="Calibri" w:eastAsia="方正仿宋_GBK" w:cs="Times New Roman"/>
          <w:sz w:val="28"/>
        </w:rPr>
        <w:t>加强师资和学科建设</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绩效目标：制定专业及课程建设规划，不断优化专业结构，完善课程体系；探索校中企、企中校模式，推进校企深度合作；加强教师培训，以学术交流、国培项目、企业挂职锻炼等促进教师能力提升。</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绩效指标：教师培训、学术交流计划完成率达到95%以上；教师培训进修比例达到30%以上；专业建设完成率达到90%以上；教师培训进修比例大于30%。</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3.</w:t>
      </w:r>
      <w:r>
        <w:rPr>
          <w:rFonts w:ascii="Times New Roman" w:hAnsi="Calibri" w:eastAsia="方正仿宋_GBK" w:cs="Times New Roman"/>
          <w:sz w:val="28"/>
        </w:rPr>
        <w:t xml:space="preserve">进一步加强校企合作  </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绩效目标：探索校中企、企中校模式，推进校企深度合作。</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绩效指标：开展校中企融合模式项目数不少于3个；创新创业项目及活动数不少于3个；开展企中校融合模式项目数不少于3个；企业对实习生满意率达到90%以上。</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4.</w:t>
      </w:r>
      <w:r>
        <w:rPr>
          <w:rFonts w:ascii="Times New Roman" w:hAnsi="Calibri" w:eastAsia="方正仿宋_GBK" w:cs="Times New Roman"/>
          <w:sz w:val="28"/>
        </w:rPr>
        <w:t xml:space="preserve">提升实训能力建设  </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绩效目标：依托长线特色专业实训室建设，进一步完善配套措施及设备，提高学做结合、理实一体及岗位适应能力。</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绩效指标：实训设施应用率达到90%以上；参加技能大赛学生数大于学生总数的0.5%</w:t>
      </w:r>
      <w:r>
        <w:rPr>
          <w:rFonts w:ascii="Times New Roman" w:hAnsi="Calibri" w:eastAsia="方正仿宋_GBK" w:cs="Times New Roman"/>
          <w:sz w:val="28"/>
        </w:rPr>
        <w:t>；省技能大赛获奖数达到3个以上；师生对实训室建设满意度达到95%以上。</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5.</w:t>
      </w:r>
      <w:r>
        <w:rPr>
          <w:rFonts w:ascii="Times New Roman" w:hAnsi="Calibri" w:eastAsia="方正仿宋_GBK" w:cs="Times New Roman"/>
          <w:sz w:val="28"/>
        </w:rPr>
        <w:t xml:space="preserve">提升教学科研水平 </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绩效目标：围绕高职教学现状开展调查研究和国内外学术交流，推进理论探索和实践创新。</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绩效指标：省部级以上科研项目立项数量不少于10项；科研课题完成率达到90%以上；教师在省级以上学术期刊发表论文、著作、教材数不少于18篇。</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6.</w:t>
      </w:r>
      <w:r>
        <w:rPr>
          <w:rFonts w:ascii="Times New Roman" w:hAnsi="Calibri" w:eastAsia="方正仿宋_GBK" w:cs="Times New Roman"/>
          <w:sz w:val="28"/>
        </w:rPr>
        <w:t xml:space="preserve">教学事务管理 </w:t>
      </w:r>
    </w:p>
    <w:p>
      <w:pPr>
        <w:spacing w:line="500" w:lineRule="exact"/>
        <w:ind w:firstLine="560" w:firstLineChars="200"/>
        <w:jc w:val="left"/>
        <w:rPr>
          <w:rFonts w:ascii="Times New Roman" w:hAnsi="Calibri" w:eastAsia="方正仿宋_GBK" w:cs="Times New Roman"/>
          <w:sz w:val="28"/>
        </w:rPr>
      </w:pPr>
      <w:r>
        <w:rPr>
          <w:rFonts w:ascii="Times New Roman" w:hAnsi="Calibri" w:eastAsia="方正仿宋_GBK" w:cs="Times New Roman"/>
          <w:sz w:val="28"/>
        </w:rPr>
        <w:t>绩效目标：根据社会发展需求，组织实施与教学活动和学员培训相关的综合管理和后勤保障事务。</w:t>
      </w:r>
    </w:p>
    <w:p>
      <w:pPr>
        <w:spacing w:line="500" w:lineRule="exact"/>
        <w:ind w:firstLine="560" w:firstLineChars="200"/>
        <w:jc w:val="left"/>
        <w:rPr>
          <w:rFonts w:ascii="Times New Roman" w:hAnsi="Times New Roman" w:eastAsia="方正仿宋_GBK" w:cs="Times New Roman"/>
          <w:sz w:val="32"/>
          <w:szCs w:val="32"/>
        </w:rPr>
      </w:pPr>
      <w:r>
        <w:rPr>
          <w:rFonts w:ascii="Times New Roman" w:hAnsi="Calibri" w:eastAsia="方正仿宋_GBK" w:cs="Times New Roman"/>
          <w:sz w:val="28"/>
        </w:rPr>
        <w:t>绩效指标：师生满意度达到90%以上；面向普通高中生招生数大于700人；面向单独招生数大于1200人。</w:t>
      </w:r>
      <w:r>
        <w:rPr>
          <w:rFonts w:hint="eastAsia" w:ascii="Times New Roman" w:hAnsi="Times New Roman" w:eastAsia="方正仿宋_GBK" w:cs="Times New Roman"/>
          <w:sz w:val="32"/>
          <w:szCs w:val="32"/>
        </w:rPr>
        <w:t xml:space="preserve">    </w:t>
      </w:r>
    </w:p>
    <w:p>
      <w:pPr>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（三）工作保障措施</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1.</w:t>
      </w:r>
      <w:r>
        <w:rPr>
          <w:rFonts w:ascii="Times New Roman" w:hAnsi="Calibri" w:eastAsia="方正仿宋_GBK" w:cs="Times New Roman"/>
          <w:sz w:val="28"/>
        </w:rPr>
        <w:t>完善制度建设。学院按照财政预算绩效管理相关制度，将陆续完善学院内部资金管理办法、项目资金管理制度等文件，为实现学院2020年全年预算绩效目标，做好制度方面的保障工作。</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2.</w:t>
      </w:r>
      <w:r>
        <w:rPr>
          <w:rFonts w:ascii="Times New Roman" w:hAnsi="Calibri" w:eastAsia="方正仿宋_GBK" w:cs="Times New Roman"/>
          <w:sz w:val="28"/>
        </w:rPr>
        <w:t>加强预算支出的管理。立足学院现状，着眼重点工作，进一步加强学院支出管理，硬化预算约束机制，明确各处室系部的职责，提高财政资金的使用效率。按照各处室系部的需求，编细编实预算，加快履行政府采购手续，尽快启动项目，及时的拨付相关项目资金。同时优化学院的支出结构，确保6月前达到财政要求的支出进度。</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3.</w:t>
      </w:r>
      <w:r>
        <w:rPr>
          <w:rFonts w:ascii="Times New Roman" w:hAnsi="Calibri" w:eastAsia="方正仿宋_GBK" w:cs="Times New Roman"/>
          <w:sz w:val="28"/>
        </w:rPr>
        <w:t>加强绩效运行中期监控，做好绩效自评工作。学院将于2020年6月底前，对2020年预算资金绩效情况进行监控，及时发现问题，采取措施，提升预算资金的支出进度，确保绩效目标保质保量完成；同时开展上一年度的部门绩效自评和重点项目的自评工作，对于评价过程中出现的问题，及时整改，优化学院的支出结构，提高财政资金的使用效益。</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4.</w:t>
      </w:r>
      <w:r>
        <w:rPr>
          <w:rFonts w:ascii="Times New Roman" w:hAnsi="Calibri" w:eastAsia="方正仿宋_GBK" w:cs="Times New Roman"/>
          <w:sz w:val="28"/>
        </w:rPr>
        <w:t>规范财务资产管理。进一步完善财务管理相关制度，严格经费支出的审批和报销程序，完善固定资产购置、日常管理、维修、清产盘点、处置等相关制度，能够真实的反映学院资产情况，做到支出合理，物尽其用。</w:t>
      </w:r>
    </w:p>
    <w:p>
      <w:pPr>
        <w:spacing w:line="500" w:lineRule="exact"/>
        <w:ind w:firstLine="560" w:firstLineChars="200"/>
        <w:jc w:val="left"/>
        <w:rPr>
          <w:rFonts w:ascii="Times New Roman" w:hAnsi="Calibri" w:eastAsia="方正仿宋_GBK" w:cs="Times New Roman"/>
          <w:sz w:val="28"/>
        </w:rPr>
      </w:pPr>
      <w:r>
        <w:rPr>
          <w:rFonts w:hint="eastAsia" w:ascii="Times New Roman" w:hAnsi="Calibri" w:eastAsia="方正仿宋_GBK" w:cs="Times New Roman"/>
          <w:sz w:val="28"/>
        </w:rPr>
        <w:t>5.</w:t>
      </w:r>
      <w:r>
        <w:rPr>
          <w:rFonts w:ascii="Times New Roman" w:hAnsi="Calibri" w:eastAsia="方正仿宋_GBK" w:cs="Times New Roman"/>
          <w:sz w:val="28"/>
        </w:rPr>
        <w:t>加强内部监督。强化纪检监察的监督责任，严守审计纪律，对学院的绩效运行情况、重大支出的决策、资产处置及其他的重要经济事项进行监督和指导，对学院的经费支出进行内审，并配合好外部的相关审计工作，保障学院年度各项工作有序开展。</w:t>
      </w:r>
    </w:p>
    <w:p>
      <w:pPr>
        <w:spacing w:line="500" w:lineRule="exact"/>
        <w:ind w:firstLine="560" w:firstLineChars="200"/>
        <w:jc w:val="left"/>
        <w:rPr>
          <w:rFonts w:ascii="Times New Roman" w:hAnsi="Times New Roman" w:eastAsia="方正仿宋_GBK" w:cs="Times New Roman"/>
          <w:sz w:val="32"/>
          <w:szCs w:val="32"/>
        </w:rPr>
      </w:pPr>
      <w:r>
        <w:rPr>
          <w:rFonts w:hint="eastAsia" w:ascii="Times New Roman" w:hAnsi="Calibri" w:eastAsia="方正仿宋_GBK" w:cs="Times New Roman"/>
          <w:sz w:val="28"/>
        </w:rPr>
        <w:t>6.</w:t>
      </w:r>
      <w:r>
        <w:rPr>
          <w:rFonts w:ascii="Times New Roman" w:hAnsi="Calibri" w:eastAsia="方正仿宋_GBK" w:cs="Times New Roman"/>
          <w:sz w:val="28"/>
        </w:rPr>
        <w:t>加强宣传培训调研等工作。学院将加强财务及资产相关人员的培训，提升学院职工的业务素质，为更好的完成财政资金绩效评价相关工作提供人员保证；加大宣传力度，组织开展专门财务工作会议，强化各处室系部的预算绩效管理意识，以各处室系部负责人为第一责任人，积极推进学院预算绩效管理水平进一步提升；加强调研工作，眼光向外，向执行预算绩效工作较好的部门学习，吸取经验，提出学院财政资金配置的最优方案，提高学院资金的使用效益。</w:t>
      </w:r>
    </w:p>
    <w:p>
      <w:pPr>
        <w:ind w:firstLine="56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第二部分  预算项目绩效目标：</w:t>
      </w:r>
      <w:r>
        <w:rPr>
          <w:rFonts w:hint="eastAsia" w:ascii="Times New Roman" w:hAnsi="Times New Roman" w:eastAsia="方正仿宋_GBK" w:cs="Times New Roman"/>
          <w:sz w:val="32"/>
          <w:szCs w:val="32"/>
        </w:rPr>
        <w:t xml:space="preserve"> </w:t>
      </w: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1、大学生日常管理及正常运转项目经费绩效目标表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 w:name="_Toc28796947"/>
      <w:r>
        <w:rPr>
          <w:rFonts w:hint="eastAsia" w:ascii="方正仿宋_GBK" w:hAnsi="Calibri" w:eastAsia="方正仿宋_GBK" w:cs="Times New Roman"/>
          <w:b/>
          <w:sz w:val="28"/>
        </w:rPr>
        <w:instrText xml:space="preserve">1、大学生日常管理及正常运转项目经费绩效目标表</w:instrText>
      </w:r>
      <w:bookmarkEnd w:id="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、开展</w:t>
            </w:r>
            <w:r>
              <w:rPr>
                <w:rFonts w:hint="cs" w:ascii="方正书宋_GBK" w:hAnsi="Calibri" w:eastAsia="方正书宋_GBK" w:cs="Times New Roman"/>
              </w:rPr>
              <w:t>“</w:t>
            </w:r>
            <w:r>
              <w:rPr>
                <w:rFonts w:hint="eastAsia" w:ascii="方正书宋_GBK" w:hAnsi="Calibri" w:eastAsia="方正书宋_GBK" w:cs="Times New Roman"/>
              </w:rPr>
              <w:t>女大学生素质提升行动</w:t>
            </w:r>
            <w:r>
              <w:rPr>
                <w:rFonts w:hint="cs" w:ascii="方正书宋_GBK" w:hAnsi="Calibri" w:eastAsia="方正书宋_GBK" w:cs="Times New Roman"/>
              </w:rPr>
              <w:t>”</w:t>
            </w:r>
            <w:r>
              <w:rPr>
                <w:rFonts w:hint="eastAsia" w:ascii="方正书宋_GBK" w:hAnsi="Calibri" w:eastAsia="方正书宋_GBK" w:cs="Times New Roman"/>
              </w:rPr>
              <w:t>主题教育实践活动。</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、强化学生日常管理工作，创新学生管理机制体制。</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、严格学籍管理，规范学籍管理制度。</w:t>
            </w:r>
          </w:p>
          <w:p>
            <w:pPr>
              <w:spacing w:line="300" w:lineRule="exact"/>
              <w:jc w:val="left"/>
              <w:rPr>
                <w:rFonts w:ascii="方正书宋_GBK" w:hAnsi="Calibri" w:eastAsia="方正书宋_GBK" w:cs="Times New Roman"/>
              </w:rPr>
            </w:pPr>
            <w:r>
              <w:rPr>
                <w:rFonts w:ascii="方正书宋_GBK" w:hAnsi="Calibri" w:eastAsia="方正书宋_GBK" w:cs="Times New Roman"/>
              </w:rPr>
              <w:t>4</w:t>
            </w:r>
            <w:r>
              <w:rPr>
                <w:rFonts w:hint="eastAsia" w:ascii="方正书宋_GBK" w:hAnsi="Calibri" w:eastAsia="方正书宋_GBK" w:cs="Times New Roman"/>
              </w:rPr>
              <w:t>、保证学生日常管理的运转经费。</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制定主题教育活动方案个数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制定主题教育活动方案</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个</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按照学生管理计划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资金受益人数的数量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依据招生人数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受益人员满意度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资金受益人员的满意度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依据招生人数</w:t>
            </w:r>
          </w:p>
        </w:tc>
      </w:tr>
    </w:tbl>
    <w:p>
      <w:pPr>
        <w:jc w:val="left"/>
        <w:outlineLvl w:val="1"/>
        <w:rPr>
          <w:rFonts w:ascii="方正仿宋_GBK" w:hAnsi="Calibri" w:eastAsia="方正仿宋_GBK" w:cs="Times New Roman"/>
          <w:b/>
          <w:sz w:val="28"/>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2、高等教育发展专项资金绩效目标表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 w:name="_Toc28796948"/>
      <w:r>
        <w:rPr>
          <w:rFonts w:hint="eastAsia" w:ascii="方正仿宋_GBK" w:hAnsi="Calibri" w:eastAsia="方正仿宋_GBK" w:cs="Times New Roman"/>
          <w:b/>
          <w:sz w:val="28"/>
        </w:rPr>
        <w:instrText xml:space="preserve">2、高等教育发展专项资金绩效目标表</w:instrText>
      </w:r>
      <w:bookmarkEnd w:id="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足额及时发放高职学生奖学金助学金</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获得奖助学学生的满意度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3、高职服兵役资助资金（中央）绩效目标表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 w:name="_Toc28796949"/>
      <w:r>
        <w:rPr>
          <w:rFonts w:hint="eastAsia" w:ascii="方正仿宋_GBK" w:hAnsi="Calibri" w:eastAsia="方正仿宋_GBK" w:cs="Times New Roman"/>
          <w:b/>
          <w:sz w:val="28"/>
        </w:rPr>
        <w:instrText xml:space="preserve">3、高职服兵役资助资金（中央）绩效目标表</w:instrText>
      </w:r>
      <w:bookmarkEnd w:id="3"/>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及时足额发放服兵役高职学生助学金</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服兵役学生的满意度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4、高职国家奖学金、励志奖学金、助学金（中央）绩效目标表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 w:name="_Toc28796950"/>
      <w:r>
        <w:rPr>
          <w:rFonts w:hint="eastAsia" w:ascii="方正仿宋_GBK" w:hAnsi="Calibri" w:eastAsia="方正仿宋_GBK" w:cs="Times New Roman"/>
          <w:b/>
          <w:sz w:val="28"/>
        </w:rPr>
        <w:instrText xml:space="preserve">4、高职国家奖学金、励志奖学金、助学金（中央）绩效目标表</w:instrText>
      </w:r>
      <w:bookmarkEnd w:id="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及时全额发放高职学生国家助学金、国家奖学金、国家励志奖学金</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取得资助学生的满意度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5、高职建档立卡资金（省级）绩效目标表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 w:name="_Toc28796951"/>
      <w:r>
        <w:rPr>
          <w:rFonts w:hint="eastAsia" w:ascii="方正仿宋_GBK" w:hAnsi="Calibri" w:eastAsia="方正仿宋_GBK" w:cs="Times New Roman"/>
          <w:b/>
          <w:sz w:val="28"/>
        </w:rPr>
        <w:instrText xml:space="preserve">5、高职建档立卡资金（省级）绩效目标表</w:instrText>
      </w:r>
      <w:bookmarkEnd w:id="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及时足额对学院建档立卡学生进行补助。</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建档立卡学生的满意度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6、高职生均拨款（省级）-保安及物业服务项目绩效目标表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6" w:name="_Toc28796952"/>
      <w:r>
        <w:rPr>
          <w:rFonts w:hint="eastAsia" w:ascii="方正仿宋_GBK" w:hAnsi="Calibri" w:eastAsia="方正仿宋_GBK" w:cs="Times New Roman"/>
          <w:b/>
          <w:sz w:val="28"/>
        </w:rPr>
        <w:instrText xml:space="preserve">6、高职生均拨款（省级）-保安及物业服务项目绩效目标表</w:instrText>
      </w:r>
      <w:bookmarkEnd w:id="6"/>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、保证日常维修，绿化、维护、保洁</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、保障师生人身及财务安全</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、维护学院公共财产</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物业工作服务人数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7000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受益师生数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物业服务学院师生数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7000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7、高职生均拨款（省级）-标准化考场建设项目绩效目标表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7" w:name="_Toc28796953"/>
      <w:r>
        <w:rPr>
          <w:rFonts w:hint="eastAsia" w:ascii="方正仿宋_GBK" w:hAnsi="Calibri" w:eastAsia="方正仿宋_GBK" w:cs="Times New Roman"/>
          <w:b/>
          <w:sz w:val="28"/>
        </w:rPr>
        <w:instrText xml:space="preserve">7、高职生均拨款（省级）-标准化考场建设项目绩效目标表</w:instrText>
      </w:r>
      <w:bookmarkEnd w:id="7"/>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、实现远程与省市考试院联通监控</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、提高考试管理水平，提升了考试的公平性和规范性及我院社会服务能力</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购置完成率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购置设备完成率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师生对考场建设的满意程度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8、高职生均拨款（省级）-财务处信息平台建设绩效目标表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8" w:name="_Toc28796954"/>
      <w:r>
        <w:rPr>
          <w:rFonts w:hint="eastAsia" w:ascii="方正仿宋_GBK" w:hAnsi="Calibri" w:eastAsia="方正仿宋_GBK" w:cs="Times New Roman"/>
          <w:b/>
          <w:sz w:val="28"/>
        </w:rPr>
        <w:instrText xml:space="preserve">8、高职生均拨款（省级）-财务处信息平台建设绩效目标表</w:instrText>
      </w:r>
      <w:bookmarkEnd w:id="8"/>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、教师和学生满意度达到</w:t>
            </w:r>
            <w:r>
              <w:rPr>
                <w:rFonts w:ascii="方正书宋_GBK" w:hAnsi="Calibri" w:eastAsia="方正书宋_GBK" w:cs="Times New Roman"/>
              </w:rPr>
              <w:t>90%</w:t>
            </w:r>
            <w:r>
              <w:rPr>
                <w:rFonts w:hint="eastAsia" w:ascii="方正书宋_GBK" w:hAnsi="Calibri" w:eastAsia="方正书宋_GBK" w:cs="Times New Roman"/>
              </w:rPr>
              <w:t>以上；</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、可供全院师生使用，使用年限达到</w:t>
            </w:r>
            <w:r>
              <w:rPr>
                <w:rFonts w:ascii="方正书宋_GBK" w:hAnsi="Calibri" w:eastAsia="方正书宋_GBK" w:cs="Times New Roman"/>
              </w:rPr>
              <w:t>5</w:t>
            </w:r>
            <w:r>
              <w:rPr>
                <w:rFonts w:hint="eastAsia" w:ascii="方正书宋_GBK" w:hAnsi="Calibri" w:eastAsia="方正书宋_GBK" w:cs="Times New Roman"/>
              </w:rPr>
              <w:t>年以上</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内控系统使用年限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满足教职工学生的使用人数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教师和学生的满意度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教师和学生对内控系统的满意度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9、高职生均拨款（省级）-服装设计专业机房改造绩效目标表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9" w:name="_Toc28796955"/>
      <w:r>
        <w:rPr>
          <w:rFonts w:hint="eastAsia" w:ascii="方正仿宋_GBK" w:hAnsi="Calibri" w:eastAsia="方正仿宋_GBK" w:cs="Times New Roman"/>
          <w:b/>
          <w:sz w:val="28"/>
        </w:rPr>
        <w:instrText xml:space="preserve">9、高职生均拨款（省级）-服装设计专业机房改造绩效目标表</w:instrText>
      </w:r>
      <w:bookmarkEnd w:id="9"/>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w:t>
            </w:r>
            <w:r>
              <w:rPr>
                <w:rFonts w:ascii="方正书宋_GBK" w:hAnsi="Calibri" w:eastAsia="方正书宋_GBK" w:cs="Times New Roman"/>
              </w:rPr>
              <w:t>2020</w:t>
            </w:r>
            <w:r>
              <w:rPr>
                <w:rFonts w:hint="eastAsia" w:ascii="方正书宋_GBK" w:hAnsi="Calibri" w:eastAsia="方正书宋_GBK" w:cs="Times New Roman"/>
              </w:rPr>
              <w:t>年</w:t>
            </w:r>
            <w:r>
              <w:rPr>
                <w:rFonts w:ascii="方正书宋_GBK" w:hAnsi="Calibri" w:eastAsia="方正书宋_GBK" w:cs="Times New Roman"/>
              </w:rPr>
              <w:t>10</w:t>
            </w:r>
            <w:r>
              <w:rPr>
                <w:rFonts w:hint="eastAsia" w:ascii="方正书宋_GBK" w:hAnsi="Calibri" w:eastAsia="方正书宋_GBK" w:cs="Times New Roman"/>
              </w:rPr>
              <w:t>月之前完成该项目建设</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、教师和学生满意度达到</w:t>
            </w:r>
            <w:r>
              <w:rPr>
                <w:rFonts w:ascii="方正书宋_GBK" w:hAnsi="Calibri" w:eastAsia="方正书宋_GBK" w:cs="Times New Roman"/>
              </w:rPr>
              <w:t>80%</w:t>
            </w:r>
            <w:r>
              <w:rPr>
                <w:rFonts w:hint="eastAsia" w:ascii="方正书宋_GBK" w:hAnsi="Calibri" w:eastAsia="方正书宋_GBK" w:cs="Times New Roman"/>
              </w:rPr>
              <w:t>以上</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、可供</w:t>
            </w:r>
            <w:r>
              <w:rPr>
                <w:rFonts w:ascii="方正书宋_GBK" w:hAnsi="Calibri" w:eastAsia="方正书宋_GBK" w:cs="Times New Roman"/>
              </w:rPr>
              <w:t>100</w:t>
            </w:r>
            <w:r>
              <w:rPr>
                <w:rFonts w:hint="eastAsia" w:ascii="方正书宋_GBK" w:hAnsi="Calibri" w:eastAsia="方正书宋_GBK" w:cs="Times New Roman"/>
              </w:rPr>
              <w:t>名学生使用，使用年限达到</w:t>
            </w:r>
            <w:r>
              <w:rPr>
                <w:rFonts w:ascii="方正书宋_GBK" w:hAnsi="Calibri" w:eastAsia="方正书宋_GBK" w:cs="Times New Roman"/>
              </w:rPr>
              <w:t>5-10</w:t>
            </w:r>
            <w:r>
              <w:rPr>
                <w:rFonts w:hint="eastAsia" w:ascii="方正书宋_GBK" w:hAnsi="Calibri" w:eastAsia="方正书宋_GBK" w:cs="Times New Roman"/>
              </w:rPr>
              <w:t>年</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购置计算机数量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购置计算机数量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50</w:t>
            </w:r>
            <w:r>
              <w:rPr>
                <w:rFonts w:hint="eastAsia" w:ascii="方正书宋_GBK" w:hAnsi="Calibri" w:eastAsia="方正书宋_GBK" w:cs="Times New Roman"/>
              </w:rPr>
              <w:t>台</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购置桌子数量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购置桌子数量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100</w:t>
            </w:r>
            <w:r>
              <w:rPr>
                <w:rFonts w:hint="eastAsia" w:ascii="方正书宋_GBK" w:hAnsi="Calibri" w:eastAsia="方正书宋_GBK" w:cs="Times New Roman"/>
              </w:rPr>
              <w:t>张</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满足学生使用的人数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满足学生使用的人数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学生和教师的满意度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学生和教师的满意度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10、高职生均拨款（省级）-高职单招及扩招联考工作专项资金绩效目标表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0" w:name="_Toc28796956"/>
      <w:r>
        <w:rPr>
          <w:rFonts w:hint="eastAsia" w:ascii="方正仿宋_GBK" w:hAnsi="Calibri" w:eastAsia="方正仿宋_GBK" w:cs="Times New Roman"/>
          <w:b/>
          <w:sz w:val="28"/>
        </w:rPr>
        <w:instrText xml:space="preserve">10、高职生均拨款（省级）-高职单招及扩招联考工作专项资金绩效目标表</w:instrText>
      </w:r>
      <w:bookmarkEnd w:id="10"/>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、按规定时间完成命题等工作</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、平稳有序完成考试工作</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覆盖考生人数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覆盖考生人数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10000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参考考生满意度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参考考生满意度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11、高职生均拨款（省级）-购置税务、会计软件题库绩效目标表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1" w:name="_Toc28796957"/>
      <w:r>
        <w:rPr>
          <w:rFonts w:hint="eastAsia" w:ascii="方正仿宋_GBK" w:hAnsi="Calibri" w:eastAsia="方正仿宋_GBK" w:cs="Times New Roman"/>
          <w:b/>
          <w:sz w:val="28"/>
        </w:rPr>
        <w:instrText xml:space="preserve">11、高职生均拨款（省级）-购置税务、会计软件题库绩效目标表</w:instrText>
      </w:r>
      <w:bookmarkEnd w:id="1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、拓展其就业创业的能力，帮助学生更顺利的拿到会计初级证书</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、高质量的完成技能大赛的承办，同时借助大赛提高我系学生的专业技能</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套</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师生使用满意度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师生使用软件满意程度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12、高职生均拨款（省级）-护理实训室改造绩效目标表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2" w:name="_Toc28796958"/>
      <w:r>
        <w:rPr>
          <w:rFonts w:hint="eastAsia" w:ascii="方正仿宋_GBK" w:hAnsi="Calibri" w:eastAsia="方正仿宋_GBK" w:cs="Times New Roman"/>
          <w:b/>
          <w:sz w:val="28"/>
        </w:rPr>
        <w:instrText xml:space="preserve">12、高职生均拨款（省级）-护理实训室改造绩效目标表</w:instrText>
      </w:r>
      <w:bookmarkEnd w:id="1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、提高护理专业学生实训能力。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、增强学院硬件设施水平，营造良好的实训环境。</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学时参加实训数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1200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受益学生数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受益学生数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1200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99%</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13、高职生均拨款（省级）-教师信息化提升及教学能力大赛绩效目标表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3" w:name="_Toc28796959"/>
      <w:r>
        <w:rPr>
          <w:rFonts w:hint="eastAsia" w:ascii="方正仿宋_GBK" w:hAnsi="Calibri" w:eastAsia="方正仿宋_GBK" w:cs="Times New Roman"/>
          <w:b/>
          <w:sz w:val="28"/>
        </w:rPr>
        <w:instrText xml:space="preserve">13、高职生均拨款（省级）-教师信息化提升及教学能力大赛绩效目标表</w:instrText>
      </w:r>
      <w:bookmarkEnd w:id="13"/>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、推进学院教师、教材、教法改革</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、加强学院</w:t>
            </w:r>
            <w:r>
              <w:rPr>
                <w:rFonts w:hint="cs" w:ascii="方正书宋_GBK" w:hAnsi="Calibri" w:eastAsia="方正书宋_GBK" w:cs="Times New Roman"/>
              </w:rPr>
              <w:t>“</w:t>
            </w:r>
            <w:r>
              <w:rPr>
                <w:rFonts w:hint="eastAsia" w:ascii="方正书宋_GBK" w:hAnsi="Calibri" w:eastAsia="方正书宋_GBK" w:cs="Times New Roman"/>
              </w:rPr>
              <w:t>双师型</w:t>
            </w:r>
            <w:r>
              <w:rPr>
                <w:rFonts w:hint="cs" w:ascii="方正书宋_GBK" w:hAnsi="Calibri" w:eastAsia="方正书宋_GBK" w:cs="Times New Roman"/>
              </w:rPr>
              <w:t>”</w:t>
            </w:r>
            <w:r>
              <w:rPr>
                <w:rFonts w:hint="eastAsia" w:ascii="方正书宋_GBK" w:hAnsi="Calibri" w:eastAsia="方正书宋_GBK" w:cs="Times New Roman"/>
              </w:rPr>
              <w:t>教师队伍建设，更好地适应教学模式和评价模式改革需要</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课程数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打磨</w:t>
            </w:r>
            <w:r>
              <w:rPr>
                <w:rFonts w:ascii="方正书宋_GBK" w:hAnsi="Calibri" w:eastAsia="方正书宋_GBK" w:cs="Times New Roman"/>
              </w:rPr>
              <w:t>6</w:t>
            </w:r>
            <w:r>
              <w:rPr>
                <w:rFonts w:hint="eastAsia" w:ascii="方正书宋_GBK" w:hAnsi="Calibri" w:eastAsia="方正书宋_GBK" w:cs="Times New Roman"/>
              </w:rPr>
              <w:t>门课程作品参赛</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6</w:t>
            </w:r>
            <w:r>
              <w:rPr>
                <w:rFonts w:hint="eastAsia" w:ascii="方正书宋_GBK" w:hAnsi="Calibri" w:eastAsia="方正书宋_GBK" w:cs="Times New Roman"/>
              </w:rPr>
              <w:t>门</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教学能力大赛通过师生满意度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14、高职生均拨款（省级）-教学空间内涵提升项目绩效目标表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4" w:name="_Toc28796960"/>
      <w:r>
        <w:rPr>
          <w:rFonts w:hint="eastAsia" w:ascii="方正仿宋_GBK" w:hAnsi="Calibri" w:eastAsia="方正仿宋_GBK" w:cs="Times New Roman"/>
          <w:b/>
          <w:sz w:val="28"/>
        </w:rPr>
        <w:instrText xml:space="preserve">14、高职生均拨款（省级）-教学空间内涵提升项目绩效目标表</w:instrText>
      </w:r>
      <w:bookmarkEnd w:id="1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提升教学空间内涵</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教学空间改造面积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1200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15、高职生均拨款（省级）-教学楼公寓楼粉刷项目绩效目标表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5" w:name="_Toc28796961"/>
      <w:r>
        <w:rPr>
          <w:rFonts w:hint="eastAsia" w:ascii="方正仿宋_GBK" w:hAnsi="Calibri" w:eastAsia="方正仿宋_GBK" w:cs="Times New Roman"/>
          <w:b/>
          <w:sz w:val="28"/>
        </w:rPr>
        <w:instrText xml:space="preserve">15、高职生均拨款（省级）-教学楼公寓楼粉刷项目绩效目标表</w:instrText>
      </w:r>
      <w:bookmarkEnd w:id="1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、美化校园环境</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、解决教学及生活场所脏乱差问题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粉刷面积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墙面粉刷面积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132000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粉刷后师生满意度情况</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16、高职生均拨款（省级）-教学专业场所改造项目绩效目标表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6" w:name="_Toc28796962"/>
      <w:r>
        <w:rPr>
          <w:rFonts w:hint="eastAsia" w:ascii="方正仿宋_GBK" w:hAnsi="Calibri" w:eastAsia="方正仿宋_GBK" w:cs="Times New Roman"/>
          <w:b/>
          <w:sz w:val="28"/>
        </w:rPr>
        <w:instrText xml:space="preserve">16、高职生均拨款（省级）-教学专业场所改造项目绩效目标表</w:instrText>
      </w:r>
      <w:bookmarkEnd w:id="16"/>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解决教学场所紧张问题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教学专业场所的改造面积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1360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改造后教室可容纳学生满意度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17、高职生均拨款（省级）-女性发展与教育特色资源库绩效目标表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7" w:name="_Toc28796963"/>
      <w:r>
        <w:rPr>
          <w:rFonts w:hint="eastAsia" w:ascii="方正仿宋_GBK" w:hAnsi="Calibri" w:eastAsia="方正仿宋_GBK" w:cs="Times New Roman"/>
          <w:b/>
          <w:sz w:val="28"/>
        </w:rPr>
        <w:instrText xml:space="preserve">17、高职生均拨款（省级）-女性发展与教育特色资源库绩效目标表</w:instrText>
      </w:r>
      <w:bookmarkEnd w:id="17"/>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、教师和学生满意度达到</w:t>
            </w:r>
            <w:r>
              <w:rPr>
                <w:rFonts w:ascii="方正书宋_GBK" w:hAnsi="Calibri" w:eastAsia="方正书宋_GBK" w:cs="Times New Roman"/>
              </w:rPr>
              <w:t>80%</w:t>
            </w:r>
            <w:r>
              <w:rPr>
                <w:rFonts w:hint="eastAsia" w:ascii="方正书宋_GBK" w:hAnsi="Calibri" w:eastAsia="方正书宋_GBK" w:cs="Times New Roman"/>
              </w:rPr>
              <w:t>以上</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、可供</w:t>
            </w:r>
            <w:r>
              <w:rPr>
                <w:rFonts w:ascii="方正书宋_GBK" w:hAnsi="Calibri" w:eastAsia="方正书宋_GBK" w:cs="Times New Roman"/>
              </w:rPr>
              <w:t>100</w:t>
            </w:r>
            <w:r>
              <w:rPr>
                <w:rFonts w:hint="eastAsia" w:ascii="方正书宋_GBK" w:hAnsi="Calibri" w:eastAsia="方正书宋_GBK" w:cs="Times New Roman"/>
              </w:rPr>
              <w:t>名学生使用，使用年限达到</w:t>
            </w:r>
            <w:r>
              <w:rPr>
                <w:rFonts w:ascii="方正书宋_GBK" w:hAnsi="Calibri" w:eastAsia="方正书宋_GBK" w:cs="Times New Roman"/>
              </w:rPr>
              <w:t>5-10</w:t>
            </w:r>
            <w:r>
              <w:rPr>
                <w:rFonts w:hint="eastAsia" w:ascii="方正书宋_GBK" w:hAnsi="Calibri" w:eastAsia="方正书宋_GBK" w:cs="Times New Roman"/>
              </w:rPr>
              <w:t>年</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资源使用年限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满足学生使用的人数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满足学生使用的人数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师生的满意度指标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18、高职生均拨款（省级）-日元贷款本金及利息绩效目标表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8" w:name="_Toc28796964"/>
      <w:r>
        <w:rPr>
          <w:rFonts w:hint="eastAsia" w:ascii="方正仿宋_GBK" w:hAnsi="Calibri" w:eastAsia="方正仿宋_GBK" w:cs="Times New Roman"/>
          <w:b/>
          <w:sz w:val="28"/>
        </w:rPr>
        <w:instrText xml:space="preserve">18、高职生均拨款（省级）-日元贷款本金及利息绩效目标表</w:instrText>
      </w:r>
      <w:bookmarkEnd w:id="18"/>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项目完成后可解决按期归还日元贷款利息及本金的问题，不会造成违约</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完成率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日元贷款归还完成率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转贷单位满意度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转贷单位满意度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19、高职生均拨款（省级）-商务楼教室改造绩效目标表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9" w:name="_Toc28796965"/>
      <w:r>
        <w:rPr>
          <w:rFonts w:hint="eastAsia" w:ascii="方正仿宋_GBK" w:hAnsi="Calibri" w:eastAsia="方正仿宋_GBK" w:cs="Times New Roman"/>
          <w:b/>
          <w:sz w:val="28"/>
        </w:rPr>
        <w:instrText xml:space="preserve">19、高职生均拨款（省级）-商务楼教室改造绩效目标表</w:instrText>
      </w:r>
      <w:bookmarkEnd w:id="19"/>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解决学生住宿、上课空间紧张问题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商务楼的改造面积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1360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受益学生数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改造后教室可容纳学生数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改造后教室可容纳学生满意度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20、高职生均拨款（省级）-室内取暖管网改造项目绩效目标表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0" w:name="_Toc28796966"/>
      <w:r>
        <w:rPr>
          <w:rFonts w:hint="eastAsia" w:ascii="方正仿宋_GBK" w:hAnsi="Calibri" w:eastAsia="方正仿宋_GBK" w:cs="Times New Roman"/>
          <w:b/>
          <w:sz w:val="28"/>
        </w:rPr>
        <w:instrText xml:space="preserve">20、高职生均拨款（省级）-室内取暖管网改造项目绩效目标表</w:instrText>
      </w:r>
      <w:bookmarkEnd w:id="20"/>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w:t>
            </w:r>
            <w:r>
              <w:rPr>
                <w:rFonts w:hint="eastAsia" w:ascii="方正书宋_GBK" w:hAnsi="Calibri" w:eastAsia="方正书宋_GBK" w:cs="Times New Roman"/>
              </w:rPr>
              <w:t>解决学院采暖管道及设施老化、跑冒滴漏问题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建造物内采暖改造面积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33000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受益学生人数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改造后受益师生数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6000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21、高职生均拨款（省级）-数字校园平台扩容升级绩效目标表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1" w:name="_Toc28796967"/>
      <w:r>
        <w:rPr>
          <w:rFonts w:hint="eastAsia" w:ascii="方正仿宋_GBK" w:hAnsi="Calibri" w:eastAsia="方正仿宋_GBK" w:cs="Times New Roman"/>
          <w:b/>
          <w:sz w:val="28"/>
        </w:rPr>
        <w:instrText xml:space="preserve">21、高职生均拨款（省级）-数字校园平台扩容升级绩效目标表</w:instrText>
      </w:r>
      <w:bookmarkEnd w:id="2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、形成我院特色的人文素质证书</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、学院信息化管理水平提升</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完成子项目数量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完成子项目数量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w:t>
            </w:r>
            <w:r>
              <w:rPr>
                <w:rFonts w:hint="eastAsia" w:ascii="方正书宋_GBK" w:hAnsi="Calibri" w:eastAsia="方正书宋_GBK" w:cs="Times New Roman"/>
              </w:rPr>
              <w:t>个</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师生对平台的满意程度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22、高职生均拨款（省级）-网络毓秀课程绩效目标表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2" w:name="_Toc28796968"/>
      <w:r>
        <w:rPr>
          <w:rFonts w:hint="eastAsia" w:ascii="方正仿宋_GBK" w:hAnsi="Calibri" w:eastAsia="方正仿宋_GBK" w:cs="Times New Roman"/>
          <w:b/>
          <w:sz w:val="28"/>
        </w:rPr>
        <w:instrText xml:space="preserve">22、高职生均拨款（省级）-网络毓秀课程绩效目标表</w:instrText>
      </w:r>
      <w:bookmarkEnd w:id="2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、教师和学生满意度达到</w:t>
            </w:r>
            <w:r>
              <w:rPr>
                <w:rFonts w:ascii="方正书宋_GBK" w:hAnsi="Calibri" w:eastAsia="方正书宋_GBK" w:cs="Times New Roman"/>
              </w:rPr>
              <w:t>80%</w:t>
            </w:r>
            <w:r>
              <w:rPr>
                <w:rFonts w:hint="eastAsia" w:ascii="方正书宋_GBK" w:hAnsi="Calibri" w:eastAsia="方正书宋_GBK" w:cs="Times New Roman"/>
              </w:rPr>
              <w:t>以上；</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、可供</w:t>
            </w:r>
            <w:r>
              <w:rPr>
                <w:rFonts w:ascii="方正书宋_GBK" w:hAnsi="Calibri" w:eastAsia="方正书宋_GBK" w:cs="Times New Roman"/>
              </w:rPr>
              <w:t>100</w:t>
            </w:r>
            <w:r>
              <w:rPr>
                <w:rFonts w:hint="eastAsia" w:ascii="方正书宋_GBK" w:hAnsi="Calibri" w:eastAsia="方正书宋_GBK" w:cs="Times New Roman"/>
              </w:rPr>
              <w:t>名学生使用，使用年限达到</w:t>
            </w:r>
            <w:r>
              <w:rPr>
                <w:rFonts w:ascii="方正书宋_GBK" w:hAnsi="Calibri" w:eastAsia="方正书宋_GBK" w:cs="Times New Roman"/>
              </w:rPr>
              <w:t>5-10</w:t>
            </w:r>
            <w:r>
              <w:rPr>
                <w:rFonts w:hint="eastAsia" w:ascii="方正书宋_GBK" w:hAnsi="Calibri" w:eastAsia="方正书宋_GBK" w:cs="Times New Roman"/>
              </w:rPr>
              <w:t>年</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课程使用年限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师生对课程的满意度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23、高职生均拨款（省级）-网站保护及平台开发绩效目标表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3" w:name="_Toc28796969"/>
      <w:r>
        <w:rPr>
          <w:rFonts w:hint="eastAsia" w:ascii="方正仿宋_GBK" w:hAnsi="Calibri" w:eastAsia="方正仿宋_GBK" w:cs="Times New Roman"/>
          <w:b/>
          <w:sz w:val="28"/>
        </w:rPr>
        <w:instrText xml:space="preserve">23、高职生均拨款（省级）-网站保护及平台开发绩效目标表</w:instrText>
      </w:r>
      <w:bookmarkEnd w:id="23"/>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、提升学校的网站安全管理水平</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、提升学校的网站访问浏览速度</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师生对网站的满意度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r>
        <w:rPr>
          <w:rFonts w:hint="eastAsia" w:ascii="Calibri" w:hAnsi="Calibri" w:eastAsia="宋体" w:cs="Times New Roman"/>
        </w:rPr>
        <w:t xml:space="preserve"> </w:t>
      </w: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24、高职生均拨款（省级）-校园环境提升项目绩效目标表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4" w:name="_Toc28796970"/>
      <w:r>
        <w:rPr>
          <w:rFonts w:hint="eastAsia" w:ascii="方正仿宋_GBK" w:hAnsi="Calibri" w:eastAsia="方正仿宋_GBK" w:cs="Times New Roman"/>
          <w:b/>
          <w:sz w:val="28"/>
        </w:rPr>
        <w:instrText xml:space="preserve">24、高职生均拨款（省级）-校园环境提升项目绩效目标表</w:instrText>
      </w:r>
      <w:bookmarkEnd w:id="2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提升校园环境内涵</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校园环境的改造面积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12000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改造后可容纳学生满意度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25、高职生均拨款（省级）-学生公寓门及教学楼教室门更换项目绩效目标表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5" w:name="_Toc28796971"/>
      <w:r>
        <w:rPr>
          <w:rFonts w:hint="eastAsia" w:ascii="方正仿宋_GBK" w:hAnsi="Calibri" w:eastAsia="方正仿宋_GBK" w:cs="Times New Roman"/>
          <w:b/>
          <w:sz w:val="28"/>
        </w:rPr>
        <w:instrText xml:space="preserve">25、高职生均拨款（省级）-学生公寓门及教学楼教室门更换项目绩效目标表</w:instrText>
      </w:r>
      <w:bookmarkEnd w:id="2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解决学生住宿及教学设施破旧的问题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学生公寓及教室的改造面积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42000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26、高职生均拨款（省级）-艺术设计专业群教学软件采购绩效目标表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6" w:name="_Toc28796972"/>
      <w:r>
        <w:rPr>
          <w:rFonts w:hint="eastAsia" w:ascii="方正仿宋_GBK" w:hAnsi="Calibri" w:eastAsia="方正仿宋_GBK" w:cs="Times New Roman"/>
          <w:b/>
          <w:sz w:val="28"/>
        </w:rPr>
        <w:instrText xml:space="preserve">26、高职生均拨款（省级）-艺术设计专业群教学软件采购绩效目标表</w:instrText>
      </w:r>
      <w:bookmarkEnd w:id="26"/>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w:t>
            </w:r>
            <w:r>
              <w:rPr>
                <w:rFonts w:hint="cs" w:ascii="方正书宋_GBK" w:hAnsi="Calibri" w:eastAsia="方正书宋_GBK" w:cs="Times New Roman"/>
              </w:rPr>
              <w:t>“</w:t>
            </w:r>
            <w:r>
              <w:rPr>
                <w:rFonts w:hint="eastAsia" w:ascii="方正书宋_GBK" w:hAnsi="Calibri" w:eastAsia="方正书宋_GBK" w:cs="Times New Roman"/>
              </w:rPr>
              <w:t>工学结合，项目驱动</w:t>
            </w:r>
            <w:r>
              <w:rPr>
                <w:rFonts w:hint="cs" w:ascii="方正书宋_GBK" w:hAnsi="Calibri" w:eastAsia="方正书宋_GBK" w:cs="Times New Roman"/>
              </w:rPr>
              <w:t>”</w:t>
            </w:r>
            <w:r>
              <w:rPr>
                <w:rFonts w:hint="eastAsia" w:ascii="方正书宋_GBK" w:hAnsi="Calibri" w:eastAsia="方正书宋_GBK" w:cs="Times New Roman"/>
              </w:rPr>
              <w:t>、以赛促教的技能人才培养模式；</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、实现学生在真实工作的基础上完成各学习项目，形成各项目的培养目标，制定和完善其理论教学体系和实践性教学体系，并在项目实施过程中完成人才培养工作。</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使用软件的学生人数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使用年数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使用期限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学生使用软件系统的满意程度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27、高职生均拨款（省级）-运动场环境提升项目绩效目标表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7" w:name="_Toc28796973"/>
      <w:r>
        <w:rPr>
          <w:rFonts w:hint="eastAsia" w:ascii="方正仿宋_GBK" w:hAnsi="Calibri" w:eastAsia="方正仿宋_GBK" w:cs="Times New Roman"/>
          <w:b/>
          <w:sz w:val="28"/>
        </w:rPr>
        <w:instrText xml:space="preserve">27、高职生均拨款（省级）-运动场环境提升项目绩效目标表</w:instrText>
      </w:r>
      <w:bookmarkEnd w:id="27"/>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解决运动场地破旧问题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改造面积</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运动场改造面积</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3400</w:t>
            </w:r>
            <w:r>
              <w:rPr>
                <w:rFonts w:hint="eastAsia" w:ascii="方正书宋_GBK" w:hAnsi="Calibri" w:eastAsia="方正书宋_GBK" w:cs="Times New Roman"/>
              </w:rPr>
              <w:t>平方米</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改造后学生对运动场的满意度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28、高职生均拨款（省级）-招生宣传与录取工作专项经费绩效目标表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8" w:name="_Toc28796974"/>
      <w:r>
        <w:rPr>
          <w:rFonts w:hint="eastAsia" w:ascii="方正仿宋_GBK" w:hAnsi="Calibri" w:eastAsia="方正仿宋_GBK" w:cs="Times New Roman"/>
          <w:b/>
          <w:sz w:val="28"/>
        </w:rPr>
        <w:instrText xml:space="preserve">28、高职生均拨款（省级）-招生宣传与录取工作专项经费绩效目标表</w:instrText>
      </w:r>
      <w:bookmarkEnd w:id="28"/>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、招生宣传覆盖全省非重点中学和一半以上的中职学校。</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、对口宣传覆盖所有中职学生。</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、印制招生宣传材料</w:t>
            </w:r>
            <w:r>
              <w:rPr>
                <w:rFonts w:ascii="方正书宋_GBK" w:hAnsi="Calibri" w:eastAsia="方正书宋_GBK" w:cs="Times New Roman"/>
              </w:rPr>
              <w:t>30000</w:t>
            </w:r>
            <w:r>
              <w:rPr>
                <w:rFonts w:hint="eastAsia" w:ascii="方正书宋_GBK" w:hAnsi="Calibri" w:eastAsia="方正书宋_GBK" w:cs="Times New Roman"/>
              </w:rPr>
              <w:t>份。</w:t>
            </w:r>
          </w:p>
          <w:p>
            <w:pPr>
              <w:spacing w:line="300" w:lineRule="exact"/>
              <w:jc w:val="left"/>
              <w:rPr>
                <w:rFonts w:ascii="方正书宋_GBK" w:hAnsi="Calibri" w:eastAsia="方正书宋_GBK" w:cs="Times New Roman"/>
              </w:rPr>
            </w:pPr>
            <w:r>
              <w:rPr>
                <w:rFonts w:ascii="方正书宋_GBK" w:hAnsi="Calibri" w:eastAsia="方正书宋_GBK" w:cs="Times New Roman"/>
              </w:rPr>
              <w:t>4</w:t>
            </w:r>
            <w:r>
              <w:rPr>
                <w:rFonts w:hint="eastAsia" w:ascii="方正书宋_GBK" w:hAnsi="Calibri" w:eastAsia="方正书宋_GBK" w:cs="Times New Roman"/>
              </w:rPr>
              <w:t>、在《</w:t>
            </w:r>
            <w:r>
              <w:rPr>
                <w:rFonts w:ascii="方正书宋_GBK" w:hAnsi="Calibri" w:eastAsia="方正书宋_GBK" w:cs="Times New Roman"/>
              </w:rPr>
              <w:t>2020</w:t>
            </w:r>
            <w:r>
              <w:rPr>
                <w:rFonts w:hint="eastAsia" w:ascii="方正书宋_GBK" w:hAnsi="Calibri" w:eastAsia="方正书宋_GBK" w:cs="Times New Roman"/>
              </w:rPr>
              <w:t>年河北省普通高等学校招生计划（文、理）》（单招、普招）刊登宣传页。</w:t>
            </w:r>
          </w:p>
          <w:p>
            <w:pPr>
              <w:spacing w:line="300" w:lineRule="exact"/>
              <w:jc w:val="left"/>
              <w:rPr>
                <w:rFonts w:ascii="方正书宋_GBK" w:hAnsi="Calibri" w:eastAsia="方正书宋_GBK" w:cs="Times New Roman"/>
              </w:rPr>
            </w:pPr>
            <w:r>
              <w:rPr>
                <w:rFonts w:ascii="方正书宋_GBK" w:hAnsi="Calibri" w:eastAsia="方正书宋_GBK" w:cs="Times New Roman"/>
              </w:rPr>
              <w:t>5</w:t>
            </w:r>
            <w:r>
              <w:rPr>
                <w:rFonts w:hint="eastAsia" w:ascii="方正书宋_GBK" w:hAnsi="Calibri" w:eastAsia="方正书宋_GBK" w:cs="Times New Roman"/>
              </w:rPr>
              <w:t>、在国家级高教招生网站进行链接宣传</w:t>
            </w:r>
          </w:p>
          <w:p>
            <w:pPr>
              <w:spacing w:line="300" w:lineRule="exact"/>
              <w:jc w:val="left"/>
              <w:rPr>
                <w:rFonts w:ascii="方正书宋_GBK" w:hAnsi="Calibri" w:eastAsia="方正书宋_GBK" w:cs="Times New Roman"/>
              </w:rPr>
            </w:pPr>
            <w:r>
              <w:rPr>
                <w:rFonts w:ascii="方正书宋_GBK" w:hAnsi="Calibri" w:eastAsia="方正书宋_GBK" w:cs="Times New Roman"/>
              </w:rPr>
              <w:t>6</w:t>
            </w:r>
            <w:r>
              <w:rPr>
                <w:rFonts w:hint="eastAsia" w:ascii="方正书宋_GBK" w:hAnsi="Calibri" w:eastAsia="方正书宋_GBK" w:cs="Times New Roman"/>
              </w:rPr>
              <w:t>、参加覆盖主要生源地市级高招咨询会。</w:t>
            </w:r>
          </w:p>
          <w:p>
            <w:pPr>
              <w:spacing w:line="300" w:lineRule="exact"/>
              <w:jc w:val="left"/>
              <w:rPr>
                <w:rFonts w:ascii="方正书宋_GBK" w:hAnsi="Calibri" w:eastAsia="方正书宋_GBK" w:cs="Times New Roman"/>
              </w:rPr>
            </w:pPr>
            <w:r>
              <w:rPr>
                <w:rFonts w:ascii="方正书宋_GBK" w:hAnsi="Calibri" w:eastAsia="方正书宋_GBK" w:cs="Times New Roman"/>
              </w:rPr>
              <w:t>7</w:t>
            </w:r>
            <w:r>
              <w:rPr>
                <w:rFonts w:hint="eastAsia" w:ascii="方正书宋_GBK" w:hAnsi="Calibri" w:eastAsia="方正书宋_GBK" w:cs="Times New Roman"/>
              </w:rPr>
              <w:t>、搭建分答系统、</w:t>
            </w:r>
            <w:r>
              <w:rPr>
                <w:rFonts w:ascii="方正书宋_GBK" w:hAnsi="Calibri" w:eastAsia="方正书宋_GBK" w:cs="Times New Roman"/>
              </w:rPr>
              <w:t>360</w:t>
            </w:r>
            <w:r>
              <w:rPr>
                <w:rFonts w:hint="eastAsia" w:ascii="方正书宋_GBK" w:hAnsi="Calibri" w:eastAsia="方正书宋_GBK" w:cs="Times New Roman"/>
              </w:rPr>
              <w:t>网络直播平台、主流招生网站链接等，利用多种宣传媒介，灵活而精准的实现宣传任务、满足考生咨询需要。</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印刷数量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印制招生简章数量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3000</w:t>
            </w:r>
            <w:r>
              <w:rPr>
                <w:rFonts w:hint="eastAsia" w:ascii="方正书宋_GBK" w:hAnsi="Calibri" w:eastAsia="方正书宋_GBK" w:cs="Times New Roman"/>
              </w:rPr>
              <w:t>册</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刊登次数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招生广告刊登次数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10</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参加次数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参加招生咨询会的次数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考生人数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涉及考生人数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10000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应届咨询考生人数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应届咨询考生人数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29、高职生均拨款（省级）-诊改平台与办公系统一期绩效目标表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9" w:name="_Toc28796975"/>
      <w:r>
        <w:rPr>
          <w:rFonts w:hint="eastAsia" w:ascii="方正仿宋_GBK" w:hAnsi="Calibri" w:eastAsia="方正仿宋_GBK" w:cs="Times New Roman"/>
          <w:b/>
          <w:sz w:val="28"/>
        </w:rPr>
        <w:instrText xml:space="preserve">29、高职生均拨款（省级）-诊改平台与办公系统一期绩效目标表</w:instrText>
      </w:r>
      <w:bookmarkEnd w:id="29"/>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建成后将构建学院</w:t>
            </w:r>
            <w:r>
              <w:rPr>
                <w:rFonts w:hint="cs" w:ascii="方正书宋_GBK" w:hAnsi="Calibri" w:eastAsia="方正书宋_GBK" w:cs="Times New Roman"/>
              </w:rPr>
              <w:t>“</w:t>
            </w:r>
            <w:r>
              <w:rPr>
                <w:rFonts w:hint="eastAsia" w:ascii="方正书宋_GBK" w:hAnsi="Calibri" w:eastAsia="方正书宋_GBK" w:cs="Times New Roman"/>
              </w:rPr>
              <w:t>五纵五横一平台</w:t>
            </w:r>
            <w:r>
              <w:rPr>
                <w:rFonts w:hint="cs" w:ascii="方正书宋_GBK" w:hAnsi="Calibri" w:eastAsia="方正书宋_GBK" w:cs="Times New Roman"/>
              </w:rPr>
              <w:t>”</w:t>
            </w:r>
            <w:r>
              <w:rPr>
                <w:rFonts w:hint="eastAsia" w:ascii="方正书宋_GBK" w:hAnsi="Calibri" w:eastAsia="方正书宋_GBK" w:cs="Times New Roman"/>
              </w:rPr>
              <w:t>内部质量保证体系，</w:t>
            </w:r>
            <w:r>
              <w:rPr>
                <w:rFonts w:hint="cs" w:ascii="方正书宋_GBK" w:hAnsi="Calibri" w:eastAsia="方正书宋_GBK" w:cs="Times New Roman"/>
              </w:rPr>
              <w:t>“</w:t>
            </w:r>
            <w:r>
              <w:rPr>
                <w:rFonts w:hint="eastAsia" w:ascii="方正书宋_GBK" w:hAnsi="Calibri" w:eastAsia="方正书宋_GBK" w:cs="Times New Roman"/>
              </w:rPr>
              <w:t>五纵</w:t>
            </w:r>
            <w:r>
              <w:rPr>
                <w:rFonts w:hint="cs" w:ascii="方正书宋_GBK" w:hAnsi="Calibri" w:eastAsia="方正书宋_GBK" w:cs="Times New Roman"/>
              </w:rPr>
              <w:t>”</w:t>
            </w:r>
            <w:r>
              <w:rPr>
                <w:rFonts w:hint="eastAsia" w:ascii="方正书宋_GBK" w:hAnsi="Calibri" w:eastAsia="方正书宋_GBK" w:cs="Times New Roman"/>
              </w:rPr>
              <w:t>指决策指挥、质量生成、资源建设、支持服务、监督控制五个系统，</w:t>
            </w:r>
            <w:r>
              <w:rPr>
                <w:rFonts w:hint="cs" w:ascii="方正书宋_GBK" w:hAnsi="Calibri" w:eastAsia="方正书宋_GBK" w:cs="Times New Roman"/>
              </w:rPr>
              <w:t>“</w:t>
            </w:r>
            <w:r>
              <w:rPr>
                <w:rFonts w:hint="eastAsia" w:ascii="方正书宋_GBK" w:hAnsi="Calibri" w:eastAsia="方正书宋_GBK" w:cs="Times New Roman"/>
              </w:rPr>
              <w:t>五横</w:t>
            </w:r>
            <w:r>
              <w:rPr>
                <w:rFonts w:hint="cs" w:ascii="方正书宋_GBK" w:hAnsi="Calibri" w:eastAsia="方正书宋_GBK" w:cs="Times New Roman"/>
              </w:rPr>
              <w:t>”</w:t>
            </w:r>
            <w:r>
              <w:rPr>
                <w:rFonts w:hint="eastAsia" w:ascii="方正书宋_GBK" w:hAnsi="Calibri" w:eastAsia="方正书宋_GBK" w:cs="Times New Roman"/>
              </w:rPr>
              <w:t>指学校、专业、课程、教师、学生五个层面，以岗位说明书和部门工作清单为基础再造目标链和标准链体系，形成以改造传统绩效考核指标为特色的内部质量保证体系。</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软件购置数量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软件购置数量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套</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30、高职生均拨款（省级）-正常公用经费绩效目标表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0" w:name="_Toc28796976"/>
      <w:r>
        <w:rPr>
          <w:rFonts w:hint="eastAsia" w:ascii="方正仿宋_GBK" w:hAnsi="Calibri" w:eastAsia="方正仿宋_GBK" w:cs="Times New Roman"/>
          <w:b/>
          <w:sz w:val="28"/>
        </w:rPr>
        <w:instrText xml:space="preserve">30、高职生均拨款（省级）-正常公用经费绩效目标表</w:instrText>
      </w:r>
      <w:bookmarkEnd w:id="30"/>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做好学院的后勤保障工作，保证学院能够按照学院教学计划，正常运转。</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师生对学院的满意度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学院师生对学院运转的满意度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31、高职生均拨款（省级）-智慧图书馆建设项目绩效目标表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1" w:name="_Toc28796977"/>
      <w:r>
        <w:rPr>
          <w:rFonts w:hint="eastAsia" w:ascii="方正仿宋_GBK" w:hAnsi="Calibri" w:eastAsia="方正仿宋_GBK" w:cs="Times New Roman"/>
          <w:b/>
          <w:sz w:val="28"/>
        </w:rPr>
        <w:instrText xml:space="preserve">31、高职生均拨款（省级）-智慧图书馆建设项目绩效目标表</w:instrText>
      </w:r>
      <w:bookmarkEnd w:id="3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、提升学校的教学服务水平</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、提升学校的文化育人水平</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师生对建设智慧图书馆的满意度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32、高职生均拨款（省级）-中国知网及宽带项目绩效目标表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2" w:name="_Toc28796978"/>
      <w:r>
        <w:rPr>
          <w:rFonts w:hint="eastAsia" w:ascii="方正仿宋_GBK" w:hAnsi="Calibri" w:eastAsia="方正仿宋_GBK" w:cs="Times New Roman"/>
          <w:b/>
          <w:sz w:val="28"/>
        </w:rPr>
        <w:instrText xml:space="preserve">32、高职生均拨款（省级）-中国知网及宽带项目绩效目标表</w:instrText>
      </w:r>
      <w:bookmarkEnd w:id="3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、完善校园数字化资源建设，辅助教师科研教育过程中的资源查找</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、建立科学有效的专业教学资源库，实现一站式资源检索与知识获取</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、丰富学校本地电子资源馆藏量</w:t>
            </w:r>
          </w:p>
          <w:p>
            <w:pPr>
              <w:spacing w:line="300" w:lineRule="exact"/>
              <w:jc w:val="left"/>
              <w:rPr>
                <w:rFonts w:ascii="方正书宋_GBK" w:hAnsi="Calibri" w:eastAsia="方正书宋_GBK" w:cs="Times New Roman"/>
              </w:rPr>
            </w:pPr>
            <w:r>
              <w:rPr>
                <w:rFonts w:ascii="方正书宋_GBK" w:hAnsi="Calibri" w:eastAsia="方正书宋_GBK" w:cs="Times New Roman"/>
              </w:rPr>
              <w:t>4</w:t>
            </w:r>
            <w:r>
              <w:rPr>
                <w:rFonts w:hint="eastAsia" w:ascii="方正书宋_GBK" w:hAnsi="Calibri" w:eastAsia="方正书宋_GBK" w:cs="Times New Roman"/>
              </w:rPr>
              <w:t>、为学院师生提供网络服务</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时效指标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及时缴纳费用</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及时缴纳费用</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及时</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使用学生满意度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33、高职生均拨款（省级）-毓秀实训空间改造绩效目标表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3" w:name="_Toc28796979"/>
      <w:r>
        <w:rPr>
          <w:rFonts w:hint="eastAsia" w:ascii="方正仿宋_GBK" w:hAnsi="Calibri" w:eastAsia="方正仿宋_GBK" w:cs="Times New Roman"/>
          <w:b/>
          <w:sz w:val="28"/>
        </w:rPr>
        <w:instrText xml:space="preserve">33、高职生均拨款（省级）-毓秀实训空间改造绩效目标表</w:instrText>
      </w:r>
      <w:bookmarkEnd w:id="33"/>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、教师和学生满意度达到</w:t>
            </w:r>
            <w:r>
              <w:rPr>
                <w:rFonts w:ascii="方正书宋_GBK" w:hAnsi="Calibri" w:eastAsia="方正书宋_GBK" w:cs="Times New Roman"/>
              </w:rPr>
              <w:t>80%</w:t>
            </w:r>
            <w:r>
              <w:rPr>
                <w:rFonts w:hint="eastAsia" w:ascii="方正书宋_GBK" w:hAnsi="Calibri" w:eastAsia="方正书宋_GBK" w:cs="Times New Roman"/>
              </w:rPr>
              <w:t>以上</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、可供全院师生使用，使用年限达到</w:t>
            </w:r>
            <w:r>
              <w:rPr>
                <w:rFonts w:ascii="方正书宋_GBK" w:hAnsi="Calibri" w:eastAsia="方正书宋_GBK" w:cs="Times New Roman"/>
              </w:rPr>
              <w:t>10</w:t>
            </w:r>
            <w:r>
              <w:rPr>
                <w:rFonts w:hint="eastAsia" w:ascii="方正书宋_GBK" w:hAnsi="Calibri" w:eastAsia="方正书宋_GBK" w:cs="Times New Roman"/>
              </w:rPr>
              <w:t>年</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实训室设备使用年限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建成实训室师生的满意度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sectPr>
          <w:pgSz w:w="11907" w:h="16839"/>
          <w:pgMar w:top="1984" w:right="1304" w:bottom="1134" w:left="1304" w:header="851" w:footer="992" w:gutter="0"/>
          <w:cols w:space="425" w:num="1"/>
          <w:docGrid w:type="lines" w:linePitch="312" w:charSpace="0"/>
        </w:sect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34、高职生均拨款（省级）家政实训室建设绩效目标表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4" w:name="_Toc28796980"/>
      <w:r>
        <w:rPr>
          <w:rFonts w:hint="eastAsia" w:ascii="方正仿宋_GBK" w:hAnsi="Calibri" w:eastAsia="方正仿宋_GBK" w:cs="Times New Roman"/>
          <w:b/>
          <w:sz w:val="28"/>
        </w:rPr>
        <w:instrText xml:space="preserve">34、高职生均拨款（省级）家政实训室建设绩效目标表</w:instrText>
      </w:r>
      <w:bookmarkEnd w:id="3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、满足家政服务与管理专业学生在校期间的专业教学实训</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、用于老年服务于管理等专业的相关课程的仿真实训</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、可承接家政、养老等相关的社会培训</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学时参加实训人数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建成后师生满意度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99%</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35、高职生均拨款（省级）消防设施维修项目绩效目标表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5" w:name="_Toc28796981"/>
      <w:r>
        <w:rPr>
          <w:rFonts w:hint="eastAsia" w:ascii="方正仿宋_GBK" w:hAnsi="Calibri" w:eastAsia="方正仿宋_GBK" w:cs="Times New Roman"/>
          <w:b/>
          <w:sz w:val="28"/>
        </w:rPr>
        <w:instrText xml:space="preserve">35、高职生均拨款（省级）消防设施维修项目绩效目标表</w:instrText>
      </w:r>
      <w:bookmarkEnd w:id="3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、保障师生人身安全</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、确保学院财产安全</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校园消防保障师生安全人数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7000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受益学生人数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校园消防保障师生安全人数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7000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校园师生满意度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36、高职生均拨款（中央）-电子商务实训室建设项目绩效目标表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6" w:name="_Toc28796982"/>
      <w:r>
        <w:rPr>
          <w:rFonts w:hint="eastAsia" w:ascii="方正仿宋_GBK" w:hAnsi="Calibri" w:eastAsia="方正仿宋_GBK" w:cs="Times New Roman"/>
          <w:b/>
          <w:sz w:val="28"/>
        </w:rPr>
        <w:instrText xml:space="preserve">36、高职生均拨款（中央）-电子商务实训室建设项目绩效目标表</w:instrText>
      </w:r>
      <w:bookmarkEnd w:id="36"/>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项目完成后可解决电子商务专业学生实训实习难题</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6</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37、高职生均拨款（中央）-继续教育网课制作费绩效目标表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7" w:name="_Toc28796983"/>
      <w:r>
        <w:rPr>
          <w:rFonts w:hint="eastAsia" w:ascii="方正仿宋_GBK" w:hAnsi="Calibri" w:eastAsia="方正仿宋_GBK" w:cs="Times New Roman"/>
          <w:b/>
          <w:sz w:val="28"/>
        </w:rPr>
        <w:instrText xml:space="preserve">37、高职生均拨款（中央）-继续教育网课制作费绩效目标表</w:instrText>
      </w:r>
      <w:bookmarkEnd w:id="37"/>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、教师和学生满意度达到</w:t>
            </w:r>
            <w:r>
              <w:rPr>
                <w:rFonts w:ascii="方正书宋_GBK" w:hAnsi="Calibri" w:eastAsia="方正书宋_GBK" w:cs="Times New Roman"/>
              </w:rPr>
              <w:t>80%</w:t>
            </w:r>
            <w:r>
              <w:rPr>
                <w:rFonts w:hint="eastAsia" w:ascii="方正书宋_GBK" w:hAnsi="Calibri" w:eastAsia="方正书宋_GBK" w:cs="Times New Roman"/>
              </w:rPr>
              <w:t>以上；</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、可供</w:t>
            </w:r>
            <w:r>
              <w:rPr>
                <w:rFonts w:ascii="方正书宋_GBK" w:hAnsi="Calibri" w:eastAsia="方正书宋_GBK" w:cs="Times New Roman"/>
              </w:rPr>
              <w:t>10000</w:t>
            </w:r>
            <w:r>
              <w:rPr>
                <w:rFonts w:hint="eastAsia" w:ascii="方正书宋_GBK" w:hAnsi="Calibri" w:eastAsia="方正书宋_GBK" w:cs="Times New Roman"/>
              </w:rPr>
              <w:t>名学生使用，使用年限达到</w:t>
            </w:r>
            <w:r>
              <w:rPr>
                <w:rFonts w:ascii="方正书宋_GBK" w:hAnsi="Calibri" w:eastAsia="方正书宋_GBK" w:cs="Times New Roman"/>
              </w:rPr>
              <w:t>5-10</w:t>
            </w:r>
            <w:r>
              <w:rPr>
                <w:rFonts w:hint="eastAsia" w:ascii="方正书宋_GBK" w:hAnsi="Calibri" w:eastAsia="方正书宋_GBK" w:cs="Times New Roman"/>
              </w:rPr>
              <w:t>年；</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使用时间</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使用时间年数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师生使用网课满意度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38、高职生均拨款（中央）-空乘专业录播室及空乘类实训设备绩效目标表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8" w:name="_Toc28796984"/>
      <w:r>
        <w:rPr>
          <w:rFonts w:hint="eastAsia" w:ascii="方正仿宋_GBK" w:hAnsi="Calibri" w:eastAsia="方正仿宋_GBK" w:cs="Times New Roman"/>
          <w:b/>
          <w:sz w:val="28"/>
        </w:rPr>
        <w:instrText xml:space="preserve">38、高职生均拨款（中央）-空乘专业录播室及空乘类实训设备绩效目标表</w:instrText>
      </w:r>
      <w:bookmarkEnd w:id="38"/>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、满足专业教学需求，提高学生实践技能</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、专业发展需要，每学期可以满足</w:t>
            </w:r>
            <w:r>
              <w:rPr>
                <w:rFonts w:ascii="方正书宋_GBK" w:hAnsi="Calibri" w:eastAsia="方正书宋_GBK" w:cs="Times New Roman"/>
              </w:rPr>
              <w:t>300</w:t>
            </w:r>
            <w:r>
              <w:rPr>
                <w:rFonts w:hint="eastAsia" w:ascii="方正书宋_GBK" w:hAnsi="Calibri" w:eastAsia="方正书宋_GBK" w:cs="Times New Roman"/>
              </w:rPr>
              <w:t>人次的专业课程学习。</w:t>
            </w:r>
            <w:r>
              <w:rPr>
                <w:rFonts w:ascii="方正书宋_GBK" w:hAnsi="Calibri" w:eastAsia="方正书宋_GBK" w:cs="Times New Roman"/>
              </w:rPr>
              <w:t xml:space="preserve"> </w:t>
            </w:r>
            <w:r>
              <w:rPr>
                <w:rFonts w:hint="eastAsia" w:ascii="方正书宋_GBK" w:hAnsi="Calibri" w:eastAsia="方正书宋_GBK" w:cs="Times New Roman"/>
              </w:rPr>
              <w:t>乘务群实训室是我群各专业进行专业技能实操的重要实训场所</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、还可以面向社会做专业技能培训，提高学院社会服务的能力，扩大学院的声誉</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购置设备合格率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购置全部设备合格率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100%</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购置设备使用年限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购置设备使用年限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师生对购置设备满意度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39、高职生均拨款（中央）-无人机设备及软件绩效目标表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39" w:name="_Toc28796985"/>
      <w:r>
        <w:rPr>
          <w:rFonts w:hint="eastAsia" w:ascii="方正仿宋_GBK" w:hAnsi="Calibri" w:eastAsia="方正仿宋_GBK" w:cs="Times New Roman"/>
          <w:b/>
          <w:sz w:val="28"/>
        </w:rPr>
        <w:instrText xml:space="preserve">39、高职生均拨款（中央）-无人机设备及软件绩效目标表</w:instrText>
      </w:r>
      <w:bookmarkEnd w:id="39"/>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、软硬件采购到位后，现有实践教学条件大幅提升，可满足无人机应用技术专业、摄影测量与遥感技术专业</w:t>
            </w:r>
            <w:r>
              <w:rPr>
                <w:rFonts w:ascii="方正书宋_GBK" w:hAnsi="Calibri" w:eastAsia="方正书宋_GBK" w:cs="Times New Roman"/>
              </w:rPr>
              <w:t>120</w:t>
            </w:r>
            <w:r>
              <w:rPr>
                <w:rFonts w:hint="eastAsia" w:ascii="方正书宋_GBK" w:hAnsi="Calibri" w:eastAsia="方正书宋_GBK" w:cs="Times New Roman"/>
              </w:rPr>
              <w:t>人的基本教学需求</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w:t>
            </w:r>
            <w:r>
              <w:rPr>
                <w:rFonts w:ascii="方正书宋_GBK" w:hAnsi="Calibri" w:eastAsia="方正书宋_GBK" w:cs="Times New Roman"/>
              </w:rPr>
              <w:t>10</w:t>
            </w:r>
            <w:r>
              <w:rPr>
                <w:rFonts w:hint="eastAsia" w:ascii="方正书宋_GBK" w:hAnsi="Calibri" w:eastAsia="方正书宋_GBK" w:cs="Times New Roman"/>
              </w:rPr>
              <w:t>月底完成整个项目的采购，满足</w:t>
            </w:r>
            <w:r>
              <w:rPr>
                <w:rFonts w:ascii="方正书宋_GBK" w:hAnsi="Calibri" w:eastAsia="方正书宋_GBK" w:cs="Times New Roman"/>
              </w:rPr>
              <w:t>2020-2021</w:t>
            </w:r>
            <w:r>
              <w:rPr>
                <w:rFonts w:hint="eastAsia" w:ascii="方正书宋_GBK" w:hAnsi="Calibri" w:eastAsia="方正书宋_GBK" w:cs="Times New Roman"/>
              </w:rPr>
              <w:t>学年第一学期的教学需求</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购置设备合格率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高于教学要求</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100%</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师生对购置设备的满意度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40、高职生均拨款（中央）-正常公用经费绩效目标表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0" w:name="_Toc28796986"/>
      <w:r>
        <w:rPr>
          <w:rFonts w:hint="eastAsia" w:ascii="方正仿宋_GBK" w:hAnsi="Calibri" w:eastAsia="方正仿宋_GBK" w:cs="Times New Roman"/>
          <w:b/>
          <w:sz w:val="28"/>
        </w:rPr>
        <w:instrText xml:space="preserve">40、高职生均拨款（中央）-正常公用经费绩效目标表</w:instrText>
      </w:r>
      <w:bookmarkEnd w:id="40"/>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做好学院的后勤保障工作，为学院的正常运转提供保障。</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师生对学院运转的满意度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41、河北女子职业技术学院社科基金绩效目标表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1" w:name="_Toc28796987"/>
      <w:r>
        <w:rPr>
          <w:rFonts w:hint="eastAsia" w:ascii="方正仿宋_GBK" w:hAnsi="Calibri" w:eastAsia="方正仿宋_GBK" w:cs="Times New Roman"/>
          <w:b/>
          <w:sz w:val="28"/>
        </w:rPr>
        <w:instrText xml:space="preserve">41、河北女子职业技术学院社科基金绩效目标表</w:instrText>
      </w:r>
      <w:bookmarkEnd w:id="4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、加强社会科学课题研究力量，通过对重大历史文化基础问题和经济社会重大应用问题的研究，推出高水平、高质量的研究成果，提升学院的学术影响力和社会影响力。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、调动科研人员积极性、锻炼学术队伍。</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省社科基金立项数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省社科基金项目立项数达到要求</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w:t>
            </w:r>
            <w:r>
              <w:rPr>
                <w:rFonts w:hint="eastAsia" w:ascii="方正书宋_GBK" w:hAnsi="Calibri" w:eastAsia="方正书宋_GBK" w:cs="Times New Roman"/>
              </w:rPr>
              <w:t>项</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成果应用率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得以应用的成果数量占成果总数的比例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60%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接受补助的老师对社科工作的满意度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年度工作计划</w:t>
            </w: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42、三年行动（中央）-1+X老年照护和母婴护理证书建设项目绩效目标表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2" w:name="_Toc28796988"/>
      <w:r>
        <w:rPr>
          <w:rFonts w:hint="eastAsia" w:ascii="方正仿宋_GBK" w:hAnsi="Calibri" w:eastAsia="方正仿宋_GBK" w:cs="Times New Roman"/>
          <w:b/>
          <w:sz w:val="28"/>
        </w:rPr>
        <w:instrText xml:space="preserve">42、三年行动（中央）-1+X老年照护和母婴护理证书建设项目绩效目标表</w:instrText>
      </w:r>
      <w:bookmarkEnd w:id="4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、提高学生老年照护、母婴护理操作技能，获得教育部倡导的多</w:t>
            </w:r>
            <w:r>
              <w:rPr>
                <w:rFonts w:ascii="方正书宋_GBK" w:hAnsi="Calibri" w:eastAsia="方正书宋_GBK" w:cs="Times New Roman"/>
              </w:rPr>
              <w:t>X</w:t>
            </w:r>
            <w:r>
              <w:rPr>
                <w:rFonts w:hint="eastAsia" w:ascii="方正书宋_GBK" w:hAnsi="Calibri" w:eastAsia="方正书宋_GBK" w:cs="Times New Roman"/>
              </w:rPr>
              <w:t>技能等级证书，扩展学生社会就业面。</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、提升我院的基础实训条件</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、加强师资队伍建设</w:t>
            </w:r>
          </w:p>
          <w:p>
            <w:pPr>
              <w:spacing w:line="300" w:lineRule="exact"/>
              <w:jc w:val="left"/>
              <w:rPr>
                <w:rFonts w:ascii="方正书宋_GBK" w:hAnsi="Calibri" w:eastAsia="方正书宋_GBK" w:cs="Times New Roman"/>
              </w:rPr>
            </w:pPr>
            <w:r>
              <w:rPr>
                <w:rFonts w:ascii="方正书宋_GBK" w:hAnsi="Calibri" w:eastAsia="方正书宋_GBK" w:cs="Times New Roman"/>
              </w:rPr>
              <w:t>4</w:t>
            </w:r>
            <w:r>
              <w:rPr>
                <w:rFonts w:hint="eastAsia" w:ascii="方正书宋_GBK" w:hAnsi="Calibri" w:eastAsia="方正书宋_GBK" w:cs="Times New Roman"/>
              </w:rPr>
              <w:t>、实施高质量职业培训，如期完成项目建设目标，将会扩大我院的社会影响，产生有益的社会效益。</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通过率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两证书通过率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43、三年行动计划（中央）-多功能智慧语言实训室设备采购建设项目绩效目标表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3" w:name="_Toc28796989"/>
      <w:r>
        <w:rPr>
          <w:rFonts w:hint="eastAsia" w:ascii="方正仿宋_GBK" w:hAnsi="Calibri" w:eastAsia="方正仿宋_GBK" w:cs="Times New Roman"/>
          <w:b/>
          <w:sz w:val="28"/>
        </w:rPr>
        <w:instrText xml:space="preserve">43、三年行动计划（中央）-多功能智慧语言实训室设备采购建设项目绩效目标表</w:instrText>
      </w:r>
      <w:bookmarkEnd w:id="43"/>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、完成</w:t>
            </w:r>
            <w:r>
              <w:rPr>
                <w:rFonts w:ascii="方正书宋_GBK" w:hAnsi="Calibri" w:eastAsia="方正书宋_GBK" w:cs="Times New Roman"/>
              </w:rPr>
              <w:t>70</w:t>
            </w:r>
            <w:r>
              <w:rPr>
                <w:rFonts w:hint="eastAsia" w:ascii="方正书宋_GBK" w:hAnsi="Calibri" w:eastAsia="方正书宋_GBK" w:cs="Times New Roman"/>
              </w:rPr>
              <w:t>平方米的多功能智慧语言实训室设备采购安装</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设备合格率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购买设备合格率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师生对实训室建设的满意度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师生对实训室建设的满意度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44、三年行动计划（中央）-骨干教师交流培训项目绩效目标表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4" w:name="_Toc28796990"/>
      <w:r>
        <w:rPr>
          <w:rFonts w:hint="eastAsia" w:ascii="方正仿宋_GBK" w:hAnsi="Calibri" w:eastAsia="方正仿宋_GBK" w:cs="Times New Roman"/>
          <w:b/>
          <w:sz w:val="28"/>
        </w:rPr>
        <w:instrText xml:space="preserve">44、三年行动计划（中央）-骨干教师交流培训项目绩效目标表</w:instrText>
      </w:r>
      <w:bookmarkEnd w:id="4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、促使广大教师转变教育观念</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、提高教师教育教学能力、教育创新能力、管理与服务能力</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、建立一支师德高尚、结构合理、专业过硬、适应职业教育改革与培训管理要求的充满活力的教师队伍</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组织教师开展培训次数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组织教师开展培训次数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45、三年行动计划（中央）-会计技能大赛基地建设项目绩效目标表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5" w:name="_Toc28796991"/>
      <w:r>
        <w:rPr>
          <w:rFonts w:hint="eastAsia" w:ascii="方正仿宋_GBK" w:hAnsi="Calibri" w:eastAsia="方正仿宋_GBK" w:cs="Times New Roman"/>
          <w:b/>
          <w:sz w:val="28"/>
        </w:rPr>
        <w:instrText xml:space="preserve">45、三年行动计划（中央）-会计技能大赛基地建设项目绩效目标表</w:instrText>
      </w:r>
      <w:bookmarkEnd w:id="4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、拓展学生的就业创业能力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、高质量的完成技能大赛的承办，同时借助大赛提高我系学生的专业技能</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软件购置数量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软件购置数量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套</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师生对购置软件的满意度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46、三年行动计划（中央）-机器人、录播、信息岛采购项目绩效目标表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6" w:name="_Toc28796992"/>
      <w:r>
        <w:rPr>
          <w:rFonts w:hint="eastAsia" w:ascii="方正仿宋_GBK" w:hAnsi="Calibri" w:eastAsia="方正仿宋_GBK" w:cs="Times New Roman"/>
          <w:b/>
          <w:sz w:val="28"/>
        </w:rPr>
        <w:instrText xml:space="preserve">46、三年行动计划（中央）-机器人、录播、信息岛采购项目绩效目标表</w:instrText>
      </w:r>
      <w:bookmarkEnd w:id="46"/>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、让学生可以随时感受绘本的氛围，自主练习</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、学前教育专业教师开展交流学习</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购置系统数量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购置机器人、信息岛、录播系统套数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w:t>
            </w:r>
            <w:r>
              <w:rPr>
                <w:rFonts w:hint="eastAsia" w:ascii="方正书宋_GBK" w:hAnsi="Calibri" w:eastAsia="方正书宋_GBK" w:cs="Times New Roman"/>
              </w:rPr>
              <w:t>套</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师生对购置设备的满意度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47、三年行动计划（中央）-女大学生创新创业课程项目绩效目标表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7" w:name="_Toc28796993"/>
      <w:r>
        <w:rPr>
          <w:rFonts w:hint="eastAsia" w:ascii="方正仿宋_GBK" w:hAnsi="Calibri" w:eastAsia="方正仿宋_GBK" w:cs="Times New Roman"/>
          <w:b/>
          <w:sz w:val="28"/>
        </w:rPr>
        <w:instrText xml:space="preserve">47、三年行动计划（中央）-女大学生创新创业课程项目绩效目标表</w:instrText>
      </w:r>
      <w:bookmarkEnd w:id="47"/>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、全体在校师生有了统一的规范微课视频，</w:t>
            </w:r>
            <w:r>
              <w:rPr>
                <w:rFonts w:ascii="方正书宋_GBK" w:hAnsi="Calibri" w:eastAsia="方正书宋_GBK" w:cs="Times New Roman"/>
              </w:rPr>
              <w:t xml:space="preserve"> </w:t>
            </w:r>
            <w:r>
              <w:rPr>
                <w:rFonts w:hint="eastAsia" w:ascii="方正书宋_GBK" w:hAnsi="Calibri" w:eastAsia="方正书宋_GBK" w:cs="Times New Roman"/>
              </w:rPr>
              <w:t>提升大学生的职业生涯管理能力和就业创业水平。</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、以信息化促进教学变革与创新，丰富了课程资源，推进在线精品开放课程建设。</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微课视频条数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录制微课视频条数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36</w:t>
            </w:r>
            <w:r>
              <w:rPr>
                <w:rFonts w:hint="eastAsia" w:ascii="方正书宋_GBK" w:hAnsi="Calibri" w:eastAsia="方正书宋_GBK" w:cs="Times New Roman"/>
              </w:rPr>
              <w:t>条</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使用课程的师生满意度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48、三年行动计划（中央）-学前专业群资源库课程建设项目绩效目标表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8" w:name="_Toc28796994"/>
      <w:r>
        <w:rPr>
          <w:rFonts w:hint="eastAsia" w:ascii="方正仿宋_GBK" w:hAnsi="Calibri" w:eastAsia="方正仿宋_GBK" w:cs="Times New Roman"/>
          <w:b/>
          <w:sz w:val="28"/>
        </w:rPr>
        <w:instrText xml:space="preserve">48、三年行动计划（中央）-学前专业群资源库课程建设项目绩效目标表</w:instrText>
      </w:r>
      <w:bookmarkEnd w:id="48"/>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、实现本校学前教育专业学生在智慧职教平台上自主学习</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、实现兄弟院校同专业教师和幼教工作者线上获取课程资源</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建成在线课程门数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建成在线课程门数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6</w:t>
            </w:r>
            <w:r>
              <w:rPr>
                <w:rFonts w:hint="eastAsia" w:ascii="方正书宋_GBK" w:hAnsi="Calibri" w:eastAsia="方正书宋_GBK" w:cs="Times New Roman"/>
              </w:rPr>
              <w:t>门</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师生对在线课程满意度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师生对在线课程满意度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49、三年行动计划（中央）-幼儿教师在线学习平台项目绩效目标表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49" w:name="_Toc28796995"/>
      <w:r>
        <w:rPr>
          <w:rFonts w:hint="eastAsia" w:ascii="方正仿宋_GBK" w:hAnsi="Calibri" w:eastAsia="方正仿宋_GBK" w:cs="Times New Roman"/>
          <w:b/>
          <w:sz w:val="28"/>
        </w:rPr>
        <w:instrText xml:space="preserve">49、三年行动计划（中央）-幼儿教师在线学习平台项目绩效目标表</w:instrText>
      </w:r>
      <w:bookmarkEnd w:id="49"/>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、面向河北省在职扩招学前教育专业教师开放学习</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、面向全院学生开放第二课堂使用，每年使用</w:t>
            </w:r>
            <w:r>
              <w:rPr>
                <w:rFonts w:ascii="方正书宋_GBK" w:hAnsi="Calibri" w:eastAsia="方正书宋_GBK" w:cs="Times New Roman"/>
              </w:rPr>
              <w:t>2000</w:t>
            </w:r>
            <w:r>
              <w:rPr>
                <w:rFonts w:hint="eastAsia" w:ascii="方正书宋_GBK" w:hAnsi="Calibri" w:eastAsia="方正书宋_GBK" w:cs="Times New Roman"/>
              </w:rPr>
              <w:t>人次</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建设在线学习平台数量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建设在线学习平台数量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w:t>
            </w:r>
            <w:r>
              <w:rPr>
                <w:rFonts w:hint="eastAsia" w:ascii="方正书宋_GBK" w:hAnsi="Calibri" w:eastAsia="方正书宋_GBK" w:cs="Times New Roman"/>
              </w:rPr>
              <w:t>个</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使用平台师生满意度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50、三年行动计划（中央）学前教育专业技能竞赛项目绩效目标表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0" w:name="_Toc28796996"/>
      <w:r>
        <w:rPr>
          <w:rFonts w:hint="eastAsia" w:ascii="方正仿宋_GBK" w:hAnsi="Calibri" w:eastAsia="方正仿宋_GBK" w:cs="Times New Roman"/>
          <w:b/>
          <w:sz w:val="28"/>
        </w:rPr>
        <w:instrText xml:space="preserve">50、三年行动计划（中央）学前教育专业技能竞赛项目绩效目标表</w:instrText>
      </w:r>
      <w:bookmarkEnd w:id="50"/>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、面向河北省在职幼儿园教师开展大赛，搭建交流平台</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、大赛期间开展专家讲座、优秀幼儿园案例分享</w:t>
            </w:r>
          </w:p>
          <w:p>
            <w:pPr>
              <w:spacing w:line="300" w:lineRule="exact"/>
              <w:jc w:val="left"/>
              <w:rPr>
                <w:rFonts w:ascii="方正书宋_GBK" w:hAnsi="Calibri" w:eastAsia="方正书宋_GBK" w:cs="Times New Roman"/>
              </w:rPr>
            </w:pPr>
            <w:r>
              <w:rPr>
                <w:rFonts w:ascii="方正书宋_GBK" w:hAnsi="Calibri" w:eastAsia="方正书宋_GBK" w:cs="Times New Roman"/>
              </w:rPr>
              <w:t>3</w:t>
            </w:r>
            <w:r>
              <w:rPr>
                <w:rFonts w:hint="eastAsia" w:ascii="方正书宋_GBK" w:hAnsi="Calibri" w:eastAsia="方正书宋_GBK" w:cs="Times New Roman"/>
              </w:rPr>
              <w:t>、组织学生参加河北省学前教育专业、早期教育专业技能竞赛和国家技能竞赛，力争取得河北省省赛一等奖，国赛一等奖</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专家讲座次数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专家讲座次数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1</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51、双高建设（省级）-STEAM工作坊实训室设备采购项目绩效目标表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1" w:name="_Toc28796997"/>
      <w:r>
        <w:rPr>
          <w:rFonts w:hint="eastAsia" w:ascii="方正仿宋_GBK" w:hAnsi="Calibri" w:eastAsia="方正仿宋_GBK" w:cs="Times New Roman"/>
          <w:b/>
          <w:sz w:val="28"/>
        </w:rPr>
        <w:instrText xml:space="preserve">51、双高建设（省级）-STEAM工作坊实训室设备采购项目绩效目标表</w:instrText>
      </w:r>
      <w:bookmarkEnd w:id="5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、培养学生的实际操作能力和运用能力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、提高实践教学水平</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师生对实训室建设的满意度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52、双高建设（省级）-钢琴设备采购项目绩效目标表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2" w:name="_Toc28796998"/>
      <w:r>
        <w:rPr>
          <w:rFonts w:hint="eastAsia" w:ascii="方正仿宋_GBK" w:hAnsi="Calibri" w:eastAsia="方正仿宋_GBK" w:cs="Times New Roman"/>
          <w:b/>
          <w:sz w:val="28"/>
        </w:rPr>
        <w:instrText xml:space="preserve">52、双高建设（省级）-钢琴设备采购项目绩效目标表</w:instrText>
      </w:r>
      <w:bookmarkEnd w:id="5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683"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、培养学生的实际操作能力和运用能力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、提升学生的实践能力</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购置钢琴数量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购置钢琴数量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37</w:t>
            </w:r>
            <w:r>
              <w:rPr>
                <w:rFonts w:hint="eastAsia" w:ascii="方正书宋_GBK" w:hAnsi="Calibri" w:eastAsia="方正书宋_GBK" w:cs="Times New Roman"/>
              </w:rPr>
              <w:t>台</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师生对采购钢琴设备满意度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53、双高建设（省级）-绘本阅览实训室设备采购项目绩效目标表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3" w:name="_Toc28796999"/>
      <w:r>
        <w:rPr>
          <w:rFonts w:hint="eastAsia" w:ascii="方正仿宋_GBK" w:hAnsi="Calibri" w:eastAsia="方正仿宋_GBK" w:cs="Times New Roman"/>
          <w:b/>
          <w:sz w:val="28"/>
        </w:rPr>
        <w:instrText xml:space="preserve">53、双高建设（省级）-绘本阅览实训室设备采购项目绩效目标表</w:instrText>
      </w:r>
      <w:bookmarkEnd w:id="53"/>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、培养学生的实际操作能力和运用能力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、提升学生的实践能力</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师生对实训室建设满意度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54、双高建设（省级）-学前教育科学实训室设备购置项目绩效目标表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4" w:name="_Toc28797000"/>
      <w:r>
        <w:rPr>
          <w:rFonts w:hint="eastAsia" w:ascii="方正仿宋_GBK" w:hAnsi="Calibri" w:eastAsia="方正仿宋_GBK" w:cs="Times New Roman"/>
          <w:b/>
          <w:sz w:val="28"/>
        </w:rPr>
        <w:instrText xml:space="preserve">54、双高建设（省级）-学前教育科学实训室设备购置项目绩效目标表</w:instrText>
      </w:r>
      <w:bookmarkEnd w:id="54"/>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、培养学生的实际操作能力和运用能力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、提升学生的实践能力</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师生对实训室建设的满意度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55、双高建设（省级）-智慧书法实训室设备采购项目绩效目标表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5" w:name="_Toc28797001"/>
      <w:r>
        <w:rPr>
          <w:rFonts w:hint="eastAsia" w:ascii="方正仿宋_GBK" w:hAnsi="Calibri" w:eastAsia="方正仿宋_GBK" w:cs="Times New Roman"/>
          <w:b/>
          <w:sz w:val="28"/>
        </w:rPr>
        <w:instrText xml:space="preserve">55、双高建设（省级）-智慧书法实训室设备采购项目绩效目标表</w:instrText>
      </w:r>
      <w:bookmarkEnd w:id="55"/>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、提升学生的实践能力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、提高实践教学水平</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师生对购置设备满意度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56、双高建设（省级）1+X证书培训项目绩效目标表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6" w:name="_Toc28797002"/>
      <w:r>
        <w:rPr>
          <w:rFonts w:hint="eastAsia" w:ascii="方正仿宋_GBK" w:hAnsi="Calibri" w:eastAsia="方正仿宋_GBK" w:cs="Times New Roman"/>
          <w:b/>
          <w:sz w:val="28"/>
        </w:rPr>
        <w:instrText xml:space="preserve">56、双高建设（省级）1+X证书培训项目绩效目标表</w:instrText>
      </w:r>
      <w:bookmarkEnd w:id="56"/>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、提高教师教育教学能力、教育创新能力、管理与服务能力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、建立一支师德高尚、结构合理、专业过硬、适应职业教育改革与培训管理要求的充满活力的教师队伍</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教师年均培训次数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教师年均培训次数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教师满意度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参训教师满意度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57、双高建设（省级）数字化美术实训室设备采购项目绩效目标表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7" w:name="_Toc28797003"/>
      <w:r>
        <w:rPr>
          <w:rFonts w:hint="eastAsia" w:ascii="方正仿宋_GBK" w:hAnsi="Calibri" w:eastAsia="方正仿宋_GBK" w:cs="Times New Roman"/>
          <w:b/>
          <w:sz w:val="28"/>
        </w:rPr>
        <w:instrText xml:space="preserve">57、双高建设（省级）数字化美术实训室设备采购项目绩效目标表</w:instrText>
      </w:r>
      <w:bookmarkEnd w:id="57"/>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、提升学生的实践能力</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、提高实践教学水平</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可持续影响指标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使用年限</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设备可持续使用年限</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5</w:t>
            </w:r>
            <w:r>
              <w:rPr>
                <w:rFonts w:hint="eastAsia" w:ascii="方正书宋_GBK" w:hAnsi="Calibri" w:eastAsia="方正书宋_GBK" w:cs="Times New Roman"/>
              </w:rPr>
              <w:t>年</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师生对实训室建设满意度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58、物业管理费绩效目标表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8" w:name="_Toc28797004"/>
      <w:r>
        <w:rPr>
          <w:rFonts w:hint="eastAsia" w:ascii="方正仿宋_GBK" w:hAnsi="Calibri" w:eastAsia="方正仿宋_GBK" w:cs="Times New Roman"/>
          <w:b/>
          <w:sz w:val="28"/>
        </w:rPr>
        <w:instrText xml:space="preserve">58、物业管理费绩效目标表</w:instrText>
      </w:r>
      <w:bookmarkEnd w:id="58"/>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、为学院老师提供更加舒适的校园环境；</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、为学生们更好的学习、生活，提供后勤保障。</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保障人数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物业工作服务人数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7000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受益师生人数</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物业工作服务学院师生数</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7000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学院师生对外包物业服务的整体满意度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59、中央提前下达-中职资助绩效目标表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59" w:name="_Toc28797005"/>
      <w:r>
        <w:rPr>
          <w:rFonts w:hint="eastAsia" w:ascii="方正仿宋_GBK" w:hAnsi="Calibri" w:eastAsia="方正仿宋_GBK" w:cs="Times New Roman"/>
          <w:b/>
          <w:sz w:val="28"/>
        </w:rPr>
        <w:instrText xml:space="preserve">59、中央提前下达-中职资助绩效目标表</w:instrText>
      </w:r>
      <w:bookmarkEnd w:id="59"/>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、做好学院的后勤保障工作，为学院正常运转，提供保证。</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师生的满意度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师生对学院运转的满意程度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60、中职建档立卡（省级）绩效目标表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60" w:name="_Toc28797006"/>
      <w:r>
        <w:rPr>
          <w:rFonts w:hint="eastAsia" w:ascii="方正仿宋_GBK" w:hAnsi="Calibri" w:eastAsia="方正仿宋_GBK" w:cs="Times New Roman"/>
          <w:b/>
          <w:sz w:val="28"/>
        </w:rPr>
        <w:instrText xml:space="preserve">60、中职建档立卡（省级）绩效目标表</w:instrText>
      </w:r>
      <w:bookmarkEnd w:id="60"/>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、足额及时对中职建档立卡学生进行补助。</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中职建档立卡学生满意度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pPr>
    </w:p>
    <w:p>
      <w:pPr>
        <w:ind w:firstLine="560"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61、中职免学费（省级）绩效目标表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61" w:name="_Toc28797007"/>
      <w:r>
        <w:rPr>
          <w:rFonts w:hint="eastAsia" w:ascii="方正仿宋_GBK" w:hAnsi="Calibri" w:eastAsia="方正仿宋_GBK" w:cs="Times New Roman"/>
          <w:b/>
          <w:sz w:val="28"/>
        </w:rPr>
        <w:instrText xml:space="preserve">61、中职免学费（省级）绩效目标表</w:instrText>
      </w:r>
      <w:bookmarkEnd w:id="61"/>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、做好学院的后勤保障工作，为学院的正常运转提供保障。</w:t>
            </w:r>
          </w:p>
        </w:tc>
      </w:tr>
    </w:tbl>
    <w:p>
      <w:pPr>
        <w:spacing w:line="14" w:lineRule="exact"/>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中职学生满意度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中职在校学生的满意度</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jc w:val="left"/>
        <w:rPr>
          <w:rFonts w:ascii="Calibri" w:hAnsi="Calibri" w:eastAsia="宋体"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Calibri" w:hAnsi="Calibri" w:eastAsia="宋体" w:cs="Times New Roman"/>
        </w:rPr>
      </w:pPr>
    </w:p>
    <w:p>
      <w:pPr>
        <w:spacing w:line="300" w:lineRule="exact"/>
        <w:jc w:val="left"/>
        <w:rPr>
          <w:rFonts w:ascii="Calibri" w:hAnsi="Calibri" w:eastAsia="宋体" w:cs="Times New Roman"/>
        </w:rPr>
      </w:pPr>
    </w:p>
    <w:p>
      <w:pPr>
        <w:jc w:val="center"/>
        <w:rPr>
          <w:rFonts w:ascii="Times New Roman" w:hAnsi="Calibri" w:eastAsia="方正仿宋_GBK" w:cs="Times New Roman"/>
          <w:sz w:val="28"/>
        </w:rPr>
      </w:pPr>
    </w:p>
    <w:bookmarkEnd w:id="0"/>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Times New Roman" w:hAnsi="Times New Roman" w:eastAsia="方正仿宋_GBK" w:cs="Times New Roman"/>
          <w:sz w:val="32"/>
          <w:szCs w:val="24"/>
        </w:rPr>
      </w:pPr>
      <w:bookmarkStart w:id="62" w:name="_Toc471398468"/>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rPr>
        <w:t>20</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院</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4161.68</w:t>
      </w:r>
      <w:r>
        <w:rPr>
          <w:rFonts w:ascii="Times New Roman" w:hAnsi="Times New Roman" w:eastAsia="方正仿宋_GBK" w:cs="Times New Roman"/>
          <w:sz w:val="32"/>
          <w:szCs w:val="24"/>
        </w:rPr>
        <w:t>万元。具体内容见下表。</w:t>
      </w:r>
    </w:p>
    <w:p>
      <w:pPr>
        <w:ind w:firstLine="640" w:firstLineChars="200"/>
        <w:jc w:val="center"/>
        <w:outlineLvl w:val="0"/>
        <w:rPr>
          <w:rFonts w:ascii="Times New Roman" w:hAnsi="宋体" w:eastAsia="宋体" w:cs="Times New Roman"/>
          <w:sz w:val="32"/>
        </w:rPr>
      </w:pPr>
      <w:r>
        <w:rPr>
          <w:rFonts w:hint="eastAsia" w:ascii="方正小标宋_GBK" w:hAnsi="Calibri" w:eastAsia="方正小标宋_GBK" w:cs="Times New Roman"/>
          <w:sz w:val="32"/>
        </w:rPr>
        <w:t>部门政府采购预算</w:t>
      </w:r>
      <w:r>
        <w:rPr>
          <w:rFonts w:ascii="方正小标宋_GBK" w:hAnsi="Calibri" w:eastAsia="方正小标宋_GBK" w:cs="Times New Roman"/>
          <w:sz w:val="32"/>
        </w:rPr>
        <w:fldChar w:fldCharType="begin"/>
      </w:r>
      <w:r>
        <w:rPr>
          <w:rFonts w:ascii="方正小标宋_GBK" w:hAnsi="Calibri" w:eastAsia="方正小标宋_GBK" w:cs="Times New Roman"/>
          <w:sz w:val="32"/>
        </w:rPr>
        <w:instrText xml:space="preserve"> </w:instrText>
      </w:r>
      <w:r>
        <w:rPr>
          <w:rFonts w:hint="eastAsia" w:ascii="方正小标宋_GBK" w:hAnsi="Calibri" w:eastAsia="方正小标宋_GBK" w:cs="Times New Roman"/>
          <w:sz w:val="32"/>
        </w:rPr>
        <w:instrText xml:space="preserve">TC </w:instrText>
      </w:r>
      <w:bookmarkStart w:id="63" w:name="_Toc28954662"/>
      <w:r>
        <w:rPr>
          <w:rFonts w:hint="eastAsia" w:ascii="方正小标宋_GBK" w:hAnsi="Calibri" w:eastAsia="方正小标宋_GBK" w:cs="Times New Roman"/>
          <w:sz w:val="32"/>
        </w:rPr>
        <w:instrText xml:space="preserve">部门政府采购预算</w:instrText>
      </w:r>
      <w:bookmarkEnd w:id="63"/>
      <w:r>
        <w:rPr>
          <w:rFonts w:hint="eastAsia" w:ascii="方正小标宋_GBK" w:hAnsi="Calibri" w:eastAsia="方正小标宋_GBK" w:cs="Times New Roman"/>
          <w:sz w:val="32"/>
        </w:rPr>
        <w:instrText xml:space="preserve"> \f A \l 1</w:instrText>
      </w:r>
      <w:r>
        <w:rPr>
          <w:rFonts w:ascii="方正小标宋_GBK" w:hAnsi="Calibri" w:eastAsia="方正小标宋_GBK" w:cs="Times New Roman"/>
          <w:sz w:val="32"/>
        </w:rPr>
        <w:instrText xml:space="preserve"> </w:instrText>
      </w:r>
      <w:r>
        <w:rPr>
          <w:rFonts w:ascii="方正小标宋_GBK" w:hAnsi="Calibri" w:eastAsia="方正小标宋_GBK" w:cs="Times New Roman"/>
          <w:sz w:val="32"/>
        </w:rPr>
        <w:fldChar w:fldCharType="end"/>
      </w:r>
    </w:p>
    <w:tbl>
      <w:tblPr>
        <w:tblStyle w:val="8"/>
        <w:tblW w:w="156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1"/>
        <w:gridCol w:w="1106"/>
        <w:gridCol w:w="1701"/>
        <w:gridCol w:w="1417"/>
        <w:gridCol w:w="737"/>
        <w:gridCol w:w="737"/>
        <w:gridCol w:w="737"/>
        <w:gridCol w:w="1106"/>
        <w:gridCol w:w="1106"/>
        <w:gridCol w:w="1106"/>
        <w:gridCol w:w="1106"/>
        <w:gridCol w:w="1106"/>
        <w:gridCol w:w="1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98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Calibri" w:eastAsia="方正小标宋_GBK" w:cs="Times New Roman"/>
                <w:sz w:val="24"/>
              </w:rPr>
            </w:pPr>
            <w:r>
              <w:rPr>
                <w:rFonts w:hint="eastAsia" w:ascii="方正小标宋_GBK" w:hAnsi="Calibri" w:eastAsia="方正小标宋_GBK" w:cs="Times New Roman"/>
                <w:sz w:val="24"/>
              </w:rPr>
              <w:t>489河北女子职业技术学院</w:t>
            </w:r>
          </w:p>
        </w:tc>
        <w:tc>
          <w:tcPr>
            <w:tcW w:w="6636"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657" w:type="dxa"/>
            <w:gridSpan w:val="2"/>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1701"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1417"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737"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计量  单位</w:t>
            </w:r>
          </w:p>
        </w:tc>
        <w:tc>
          <w:tcPr>
            <w:tcW w:w="737"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737" w:type="dxa"/>
            <w:vMerge w:val="restart"/>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6636" w:type="dxa"/>
            <w:gridSpan w:val="6"/>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55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1701" w:type="dxa"/>
            <w:vMerge w:val="continue"/>
            <w:shd w:val="clear" w:color="auto" w:fill="auto"/>
            <w:vAlign w:val="center"/>
          </w:tcPr>
          <w:p>
            <w:pPr>
              <w:spacing w:line="300" w:lineRule="exact"/>
              <w:jc w:val="left"/>
              <w:outlineLvl w:val="0"/>
              <w:rPr>
                <w:rFonts w:ascii="Times New Roman" w:hAnsi="Calibri" w:eastAsia="方正仿宋_GBK" w:cs="Times New Roman"/>
                <w:sz w:val="28"/>
              </w:rPr>
            </w:pPr>
          </w:p>
        </w:tc>
        <w:tc>
          <w:tcPr>
            <w:tcW w:w="1417" w:type="dxa"/>
            <w:vMerge w:val="continue"/>
            <w:shd w:val="clear" w:color="auto" w:fill="auto"/>
            <w:vAlign w:val="center"/>
          </w:tcPr>
          <w:p>
            <w:pPr>
              <w:spacing w:line="300" w:lineRule="exact"/>
              <w:jc w:val="left"/>
              <w:outlineLvl w:val="0"/>
              <w:rPr>
                <w:rFonts w:ascii="Times New Roman" w:hAnsi="Calibri" w:eastAsia="方正仿宋_GBK" w:cs="Times New Roman"/>
                <w:sz w:val="28"/>
              </w:rPr>
            </w:pPr>
          </w:p>
        </w:tc>
        <w:tc>
          <w:tcPr>
            <w:tcW w:w="737" w:type="dxa"/>
            <w:vMerge w:val="continue"/>
            <w:shd w:val="clear" w:color="auto" w:fill="auto"/>
            <w:vAlign w:val="center"/>
          </w:tcPr>
          <w:p>
            <w:pPr>
              <w:spacing w:line="300" w:lineRule="exact"/>
              <w:jc w:val="left"/>
              <w:outlineLvl w:val="0"/>
              <w:rPr>
                <w:rFonts w:ascii="Times New Roman" w:hAnsi="Calibri" w:eastAsia="方正仿宋_GBK" w:cs="Times New Roman"/>
                <w:sz w:val="28"/>
              </w:rPr>
            </w:pPr>
          </w:p>
        </w:tc>
        <w:tc>
          <w:tcPr>
            <w:tcW w:w="737" w:type="dxa"/>
            <w:vMerge w:val="continue"/>
            <w:shd w:val="clear" w:color="auto" w:fill="auto"/>
            <w:vAlign w:val="center"/>
          </w:tcPr>
          <w:p>
            <w:pPr>
              <w:spacing w:line="300" w:lineRule="exact"/>
              <w:jc w:val="left"/>
              <w:outlineLvl w:val="0"/>
              <w:rPr>
                <w:rFonts w:ascii="Times New Roman" w:hAnsi="Calibri" w:eastAsia="方正仿宋_GBK" w:cs="Times New Roman"/>
                <w:sz w:val="28"/>
              </w:rPr>
            </w:pPr>
          </w:p>
        </w:tc>
        <w:tc>
          <w:tcPr>
            <w:tcW w:w="737" w:type="dxa"/>
            <w:vMerge w:val="continue"/>
            <w:shd w:val="clear" w:color="auto" w:fill="auto"/>
            <w:vAlign w:val="center"/>
          </w:tcPr>
          <w:p>
            <w:pPr>
              <w:spacing w:line="300" w:lineRule="exact"/>
              <w:jc w:val="left"/>
              <w:outlineLvl w:val="0"/>
              <w:rPr>
                <w:rFonts w:ascii="Times New Roman" w:hAnsi="Calibri" w:eastAsia="方正仿宋_GBK" w:cs="Times New Roman"/>
                <w:sz w:val="28"/>
              </w:rPr>
            </w:pP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国有资本经营预算拨款</w:t>
            </w: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110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河北女子职业技术学院小计</w:t>
            </w:r>
          </w:p>
        </w:tc>
        <w:tc>
          <w:tcPr>
            <w:tcW w:w="1106" w:type="dxa"/>
            <w:shd w:val="clear" w:color="auto" w:fill="auto"/>
            <w:vAlign w:val="center"/>
          </w:tcPr>
          <w:p>
            <w:pPr>
              <w:spacing w:line="300" w:lineRule="exact"/>
              <w:jc w:val="right"/>
              <w:rPr>
                <w:rFonts w:ascii="方正书宋_GBK" w:hAnsi="Calibri" w:eastAsia="方正书宋_GBK" w:cs="Times New Roman"/>
                <w:b/>
              </w:rPr>
            </w:pPr>
          </w:p>
        </w:tc>
        <w:tc>
          <w:tcPr>
            <w:tcW w:w="1701" w:type="dxa"/>
            <w:shd w:val="clear" w:color="auto" w:fill="auto"/>
            <w:vAlign w:val="center"/>
          </w:tcPr>
          <w:p>
            <w:pPr>
              <w:spacing w:line="300" w:lineRule="exact"/>
              <w:jc w:val="left"/>
              <w:rPr>
                <w:rFonts w:ascii="方正书宋_GBK" w:hAnsi="Calibri" w:eastAsia="方正书宋_GBK" w:cs="Times New Roman"/>
                <w:b/>
              </w:rPr>
            </w:pPr>
          </w:p>
        </w:tc>
        <w:tc>
          <w:tcPr>
            <w:tcW w:w="1417" w:type="dxa"/>
            <w:shd w:val="clear" w:color="auto" w:fill="auto"/>
            <w:vAlign w:val="center"/>
          </w:tcPr>
          <w:p>
            <w:pPr>
              <w:spacing w:line="300" w:lineRule="exact"/>
              <w:jc w:val="left"/>
              <w:rPr>
                <w:rFonts w:ascii="方正书宋_GBK" w:hAnsi="Calibri" w:eastAsia="方正书宋_GBK" w:cs="Times New Roman"/>
                <w:b/>
              </w:rPr>
            </w:pPr>
          </w:p>
        </w:tc>
        <w:tc>
          <w:tcPr>
            <w:tcW w:w="737" w:type="dxa"/>
            <w:shd w:val="clear" w:color="auto" w:fill="auto"/>
            <w:vAlign w:val="center"/>
          </w:tcPr>
          <w:p>
            <w:pPr>
              <w:spacing w:line="300" w:lineRule="exact"/>
              <w:jc w:val="left"/>
              <w:rPr>
                <w:rFonts w:ascii="方正书宋_GBK" w:hAnsi="Calibri" w:eastAsia="方正书宋_GBK" w:cs="Times New Roman"/>
                <w:b/>
              </w:rPr>
            </w:pPr>
          </w:p>
        </w:tc>
        <w:tc>
          <w:tcPr>
            <w:tcW w:w="737" w:type="dxa"/>
            <w:shd w:val="clear" w:color="auto" w:fill="auto"/>
            <w:vAlign w:val="center"/>
          </w:tcPr>
          <w:p>
            <w:pPr>
              <w:spacing w:line="300" w:lineRule="exact"/>
              <w:jc w:val="right"/>
              <w:rPr>
                <w:rFonts w:ascii="方正书宋_GBK" w:hAnsi="Calibri" w:eastAsia="方正书宋_GBK" w:cs="Times New Roman"/>
                <w:b/>
              </w:rPr>
            </w:pPr>
          </w:p>
        </w:tc>
        <w:tc>
          <w:tcPr>
            <w:tcW w:w="737" w:type="dxa"/>
            <w:shd w:val="clear" w:color="auto" w:fill="auto"/>
            <w:vAlign w:val="center"/>
          </w:tcPr>
          <w:p>
            <w:pPr>
              <w:spacing w:line="300" w:lineRule="exact"/>
              <w:jc w:val="right"/>
              <w:rPr>
                <w:rFonts w:ascii="方正书宋_GBK" w:hAnsi="Calibri" w:eastAsia="方正书宋_GBK" w:cs="Times New Roman"/>
                <w:b/>
              </w:rPr>
            </w:pPr>
          </w:p>
        </w:tc>
        <w:tc>
          <w:tcPr>
            <w:tcW w:w="1106" w:type="dxa"/>
            <w:shd w:val="clear" w:color="auto" w:fill="auto"/>
            <w:vAlign w:val="center"/>
          </w:tcPr>
          <w:p>
            <w:pPr>
              <w:spacing w:line="300" w:lineRule="exact"/>
              <w:jc w:val="right"/>
              <w:rPr>
                <w:rFonts w:ascii="方正书宋_GBK" w:hAnsi="Calibri" w:eastAsia="方正书宋_GBK" w:cs="Times New Roman"/>
                <w:b/>
              </w:rPr>
            </w:pPr>
            <w:r>
              <w:rPr>
                <w:rFonts w:ascii="方正书宋_GBK" w:hAnsi="Calibri" w:eastAsia="方正书宋_GBK" w:cs="Times New Roman"/>
                <w:b/>
              </w:rPr>
              <w:t>4161.68</w:t>
            </w:r>
          </w:p>
        </w:tc>
        <w:tc>
          <w:tcPr>
            <w:tcW w:w="1106" w:type="dxa"/>
            <w:shd w:val="clear" w:color="auto" w:fill="auto"/>
            <w:vAlign w:val="center"/>
          </w:tcPr>
          <w:p>
            <w:pPr>
              <w:spacing w:line="300" w:lineRule="exact"/>
              <w:jc w:val="right"/>
              <w:rPr>
                <w:rFonts w:ascii="方正书宋_GBK" w:hAnsi="Calibri" w:eastAsia="方正书宋_GBK" w:cs="Times New Roman"/>
                <w:b/>
              </w:rPr>
            </w:pPr>
            <w:r>
              <w:rPr>
                <w:rFonts w:ascii="方正书宋_GBK" w:hAnsi="Calibri" w:eastAsia="方正书宋_GBK" w:cs="Times New Roman"/>
                <w:b/>
              </w:rPr>
              <w:t>4065.68</w:t>
            </w:r>
          </w:p>
        </w:tc>
        <w:tc>
          <w:tcPr>
            <w:tcW w:w="1106" w:type="dxa"/>
            <w:shd w:val="clear" w:color="auto" w:fill="auto"/>
            <w:vAlign w:val="center"/>
          </w:tcPr>
          <w:p>
            <w:pPr>
              <w:spacing w:line="300" w:lineRule="exact"/>
              <w:jc w:val="right"/>
              <w:rPr>
                <w:rFonts w:ascii="方正书宋_GBK" w:hAnsi="Calibri" w:eastAsia="方正书宋_GBK" w:cs="Times New Roman"/>
                <w:b/>
              </w:rPr>
            </w:pPr>
          </w:p>
        </w:tc>
        <w:tc>
          <w:tcPr>
            <w:tcW w:w="1106" w:type="dxa"/>
            <w:shd w:val="clear" w:color="auto" w:fill="auto"/>
            <w:vAlign w:val="center"/>
          </w:tcPr>
          <w:p>
            <w:pPr>
              <w:spacing w:line="300" w:lineRule="exact"/>
              <w:jc w:val="right"/>
              <w:rPr>
                <w:rFonts w:ascii="方正书宋_GBK" w:hAnsi="Calibri" w:eastAsia="方正书宋_GBK" w:cs="Times New Roman"/>
                <w:b/>
              </w:rPr>
            </w:pPr>
          </w:p>
        </w:tc>
        <w:tc>
          <w:tcPr>
            <w:tcW w:w="1106" w:type="dxa"/>
            <w:shd w:val="clear" w:color="auto" w:fill="auto"/>
            <w:vAlign w:val="center"/>
          </w:tcPr>
          <w:p>
            <w:pPr>
              <w:spacing w:line="300" w:lineRule="exact"/>
              <w:jc w:val="right"/>
              <w:rPr>
                <w:rFonts w:ascii="方正书宋_GBK" w:hAnsi="Calibri" w:eastAsia="方正书宋_GBK" w:cs="Times New Roman"/>
                <w:b/>
              </w:rPr>
            </w:pPr>
            <w:r>
              <w:rPr>
                <w:rFonts w:ascii="方正书宋_GBK" w:hAnsi="Calibri" w:eastAsia="方正书宋_GBK" w:cs="Times New Roman"/>
                <w:b/>
              </w:rPr>
              <w:t>96.00</w:t>
            </w:r>
          </w:p>
        </w:tc>
        <w:tc>
          <w:tcPr>
            <w:tcW w:w="1106" w:type="dxa"/>
            <w:shd w:val="clear" w:color="auto" w:fill="auto"/>
            <w:vAlign w:val="center"/>
          </w:tcPr>
          <w:p>
            <w:pPr>
              <w:spacing w:line="300" w:lineRule="exact"/>
              <w:jc w:val="right"/>
              <w:rPr>
                <w:rFonts w:ascii="方正书宋_GBK" w:hAnsi="Calibri"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高职生均拨款（省级）-教学空间内涵提升项目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274.10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高职生均拨款（省级）-教学空间内涵提升项目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274.10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高职生均拨款（省级）-教学空间内涵提升项目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274.10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其他办公设备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A020299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高职生均拨款（省级）-教学空间内涵提升项目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274.10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专业摄像机和信号源设备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A02090504</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9.50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高职生均拨款（省级）-教学空间内涵提升项目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274.10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10.50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高职生均拨款（省级）-教学空间内涵提升项目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274.10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190.00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190.00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190.00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高职生均拨款（省级）-保安及物业服务项目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139.48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安全服务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C0810</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56.48</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56.48</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56.48</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高职生均拨款（省级）-保安及物业服务项目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139.48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物业管理服务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C1204</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83.00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三年行动计划（中央）-学前专业群资源库课程建设项目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数据加工处理服务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C020302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高职生均拨款（省级）-招生宣传与录取工作专项经费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其他印刷服务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C08140199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高职生均拨款（省级）-招生宣传与录取工作专项经费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其他办公消耗用品及类似物品</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三年行动计划（中央）-女大学生创新创业课程项目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其他数据处理服务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C020399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高职生均拨款（省级）-服装设计专业机房改造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31.20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高职生均拨款（省级）-服装设计专业机房改造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31.20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高职生均拨款（省级）-毓秀实训空间改造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110.00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其他厨卫用具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高职生均拨款（省级）-毓秀实训空间改造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110.00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 xml:space="preserve">项 </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33.00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高职生均拨款（省级）-毓秀实训空间改造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110.00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22.00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高职生均拨款（省级）-毓秀实训空间改造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110.00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高职生均拨款（省级）-诊改平台与办公系统一期</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套</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物业管理费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物业管理服务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C1204</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高职生均拨款（省级）-购置税务、会计软件题库</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双高建设（省级）-钢琴设备采购项目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乐器</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A033501</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60.00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高职生均拨款（省级）-护理实训室改造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113.20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102.00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高职生均拨款（省级）-学生公寓门及教学楼教室门更换项目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106.30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101.43</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101.43</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101.43</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高职生均拨款（省级）-财务处信息平台建设</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86.40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86.40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86.40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86.40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高职生均拨款（省级）-教学楼公寓楼粉刷项目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246.32</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235.32</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235.32</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235.32</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双高建设（省级）-绘本阅览实训室设备采购项目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其他图书、档案</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A0599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双高建设（省级）-绘本阅览实训室设备采购项目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高职生均拨款（省级）-运动场环境提升项目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80.30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76.60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76.60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76.60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双高建设（省级）-STEAM工作坊实训室设备采购项目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高职生均拨款（省级）-室内取暖管网改造项目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108.78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103.85</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103.85</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103.85</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三年行动计划（中央）-会计技能大赛基地建设项目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三年行动计划（中央）-会计技能大赛基地建设项目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套</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高职生均拨款（省级）-标准化考场建设项目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164.51</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视频监控设备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A02091107</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134.00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134.00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134.00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三年行动计划（中央）-幼儿教师在线学习平台项目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数据加工处理服务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C020302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三年行动计划（中央）-多功能智慧语言实训室设备采购建设项目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套</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18.00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三年行动计划（中央）-多功能智慧语言实训室设备采购建设项目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三年行动计划（中央）-机器人、录播、信息岛采购项目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三年行动计划（中央）-机器人、录播、信息岛采购项目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高职生均拨款（省级）-校园环境提升项目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202.10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192.80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192.80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192.80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高职生均拨款（省级）-女性发展与教育特色资源库</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数据加工处理服务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C020302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高职生均拨款（省级）-高职单招及扩招联考工作专项资金</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其他印刷服务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C08140199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高职生均拨款（省级）-高职单招及扩招联考工作专项资金</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其他办公消耗用品及类似物品</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高职生均拨款（中央）-电子商务实训室建设项目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208.06</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84.61</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84.61</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84.61</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高职生均拨款（中央）-电子商务实训室建设项目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208.06</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23.45</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23.45</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23.45</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高职生均拨款（中央）-电子商务实训室建设项目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208.06</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70.00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高职生均拨款（中央）-电子商务实训室建设项目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208.06</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专业摄像机和信号源设备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A02090504</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18.00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高职生均拨款（省级）-商务楼教室改造</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156.80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144.16</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144.16</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144.16</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高职生均拨款（中央）-继续教育网课制作费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31.32</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数据加工处理服务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C020302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31.32</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31.32</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31.32</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高职生均拨款（省级）-中国知网及宽带项目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互联网信息服务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C0302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30.60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30.60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30.60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高职生均拨款（省级）-中国知网及宽带项目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45.90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其他数据处理服务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C020399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15.30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15.30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15.30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日常公用经费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844.91</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其他印刷服务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C08140199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35.00</w:t>
            </w: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日常公用经费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844.91</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机动车保险服务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C15040201</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日常公用经费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844.91</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汽油内燃机</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A02050102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16.00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16.00</w:t>
            </w: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日常公用经费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844.91</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其他办公消耗用品及类似物品</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32.00</w:t>
            </w: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大学生日常管理及正常运转项目经费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其他办公消耗用品及类似物品</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高职生均拨款（省级）-艺术设计专业群教学软件采购</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23.20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行业应用软件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A0201080302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套</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23.20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23.20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23.20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高职生均拨款（省级）-智慧图书馆建设项目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套</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高职生均拨款（省级）-智慧图书馆建设项目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其他图书、档案</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A0599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高职生均拨款（省级）-智慧图书馆建设项目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120.00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高职生均拨款（中央）-空乘专业录播室及空乘类实训设备</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81.30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A090403</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24.30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24.30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24.30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高职生均拨款（中央）-空乘专业录播室及空乘类实训设备</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81.30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其他数据录入设备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A0201061299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54.00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54.00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54.00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双高建设（省级）-智慧书法实训室设备采购项目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高职生均拨款（省级）-教学专业场所改造项目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88.70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88.70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88.70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高职生均拨款（省级）-数字校园平台扩容升级</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35.96</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软件运维服务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C020603</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35.96</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35.96</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35.96</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高职生均拨款（省级）家政实训室建设</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43.00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其他文教用品</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A090499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33.00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中央提前下达-中职资助</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56.00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其他印刷服务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C08140199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双高建设（省级）数字化美术实训室设备采购项目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高职生均拨款（省级）消防设施维修项目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54.27</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其他建筑物、构筑物修缮</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B0899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43.00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43.00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高职生均拨款（省级）-正常公用经费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2984.18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暖气生产和分配服务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C140201</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元/平方米</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8.00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32.50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260.00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高职生均拨款（省级）-正常公用经费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2984.18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电力分配服务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C140102</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度</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0.50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高职生均拨款（省级）-正常公用经费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2984.18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其他家具用具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A0699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高职生均拨款（省级）-正常公用经费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2984.18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A02010899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高职生均拨款（省级）-正常公用经费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2984.18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其他印刷服务</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C08140199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36.00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36.00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高职生均拨款（省级）-正常公用经费</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2984.18</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其他办公消耗用品及类似物品</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55.00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双高建设（省级）-学前教育科学实训室设备购置项目</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教具</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A090403</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40.00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高职生均拨款（省级）-网站保护及平台开发</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其他计算机设备及软件</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A020199</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20.00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5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高职生均拨款（中央）-无人机设备及软件</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98.00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专业摄像机和信号源设备</w:t>
            </w:r>
          </w:p>
        </w:tc>
        <w:tc>
          <w:tcPr>
            <w:tcW w:w="1417" w:type="dxa"/>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A02090504</w:t>
            </w:r>
          </w:p>
        </w:tc>
        <w:tc>
          <w:tcPr>
            <w:tcW w:w="737"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批</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98.00</w:t>
            </w:r>
          </w:p>
        </w:tc>
        <w:tc>
          <w:tcPr>
            <w:tcW w:w="1106" w:type="dxa"/>
            <w:shd w:val="clear" w:color="auto" w:fill="auto"/>
            <w:vAlign w:val="center"/>
          </w:tcPr>
          <w:p>
            <w:pPr>
              <w:spacing w:line="300" w:lineRule="exact"/>
              <w:jc w:val="right"/>
              <w:rPr>
                <w:rFonts w:ascii="方正书宋_GBK" w:hAnsi="Calibri" w:eastAsia="方正书宋_GBK" w:cs="Times New Roman"/>
              </w:rPr>
            </w:pPr>
            <w:r>
              <w:rPr>
                <w:rFonts w:ascii="方正书宋_GBK" w:hAnsi="Calibri" w:eastAsia="方正书宋_GBK" w:cs="Times New Roman"/>
              </w:rPr>
              <w:t>98.00</w:t>
            </w: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c>
          <w:tcPr>
            <w:tcW w:w="1106" w:type="dxa"/>
            <w:shd w:val="clear" w:color="auto" w:fill="auto"/>
            <w:vAlign w:val="center"/>
          </w:tcPr>
          <w:p>
            <w:pPr>
              <w:spacing w:line="300" w:lineRule="exact"/>
              <w:jc w:val="right"/>
              <w:rPr>
                <w:rFonts w:ascii="方正书宋_GBK" w:hAnsi="Calibri" w:eastAsia="方正书宋_GBK" w:cs="Times New Roman"/>
              </w:rPr>
            </w:pPr>
          </w:p>
        </w:tc>
      </w:tr>
    </w:tbl>
    <w:p>
      <w:pPr>
        <w:spacing w:line="300" w:lineRule="exact"/>
        <w:ind w:firstLine="560" w:firstLineChars="200"/>
        <w:jc w:val="left"/>
        <w:outlineLvl w:val="0"/>
        <w:rPr>
          <w:rFonts w:ascii="Times New Roman" w:hAnsi="Calibri" w:eastAsia="方正仿宋_GBK" w:cs="Times New Roman"/>
          <w:sz w:val="28"/>
        </w:rPr>
        <w:sectPr>
          <w:pgSz w:w="16839" w:h="11907" w:orient="landscape"/>
          <w:pgMar w:top="1361" w:right="1020" w:bottom="1361" w:left="1020" w:header="851" w:footer="992" w:gutter="0"/>
          <w:cols w:space="425" w:num="1"/>
          <w:docGrid w:type="lines" w:linePitch="312" w:charSpace="0"/>
        </w:sectPr>
      </w:pPr>
    </w:p>
    <w:p>
      <w:pPr>
        <w:ind w:firstLine="640" w:firstLineChars="200"/>
        <w:outlineLvl w:val="0"/>
        <w:rPr>
          <w:rFonts w:ascii="Times New Roman" w:hAnsi="Times New Roman" w:eastAsia="方正仿宋_GBK" w:cs="Times New Roman"/>
          <w:sz w:val="32"/>
          <w:szCs w:val="24"/>
        </w:rPr>
      </w:pPr>
    </w:p>
    <w:bookmarkEnd w:id="62"/>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七、国有资产信息1</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河北女子职业技术学院上年末固定资产金额为</w:t>
      </w:r>
      <w:r>
        <w:rPr>
          <w:rFonts w:hint="eastAsia" w:ascii="Times New Roman" w:hAnsi="Times New Roman" w:eastAsia="方正仿宋_GBK" w:cs="Times New Roman"/>
          <w:sz w:val="32"/>
          <w:szCs w:val="32"/>
        </w:rPr>
        <w:t>22518.892524</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总额为1467.35万元，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编制部门：河北女子职业技术学院</w:t>
            </w:r>
          </w:p>
        </w:tc>
        <w:tc>
          <w:tcPr>
            <w:tcW w:w="5103"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截止时间：2019年12月31日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Times New Roman" w:hAnsi="Times New Roman" w:eastAsia="方正仿宋_GBK" w:cs="Times New Roman"/>
                <w:sz w:val="22"/>
              </w:rPr>
              <w:t>22518.892524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color w:val="000000"/>
                <w:sz w:val="22"/>
              </w:rPr>
              <w:t xml:space="preserve">17030.488814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60410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4</w:t>
            </w: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101.67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5386.73371</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OTE2YTJjOTA3OTJlMmRiMjEwNGNjNGI5NjZmOWEifQ=="/>
    <w:docVar w:name="KSO_WPS_MARK_KEY" w:val="d2bc27f4-7240-4fb5-99d8-da0f9601b2bd"/>
  </w:docVars>
  <w:rsids>
    <w:rsidRoot w:val="001667DE"/>
    <w:rsid w:val="00012072"/>
    <w:rsid w:val="001667DE"/>
    <w:rsid w:val="0024448E"/>
    <w:rsid w:val="00323F11"/>
    <w:rsid w:val="004E70C0"/>
    <w:rsid w:val="00584AF1"/>
    <w:rsid w:val="0067422C"/>
    <w:rsid w:val="00A16118"/>
    <w:rsid w:val="00A85352"/>
    <w:rsid w:val="00B678A9"/>
    <w:rsid w:val="00DB0AF0"/>
    <w:rsid w:val="00DF1516"/>
    <w:rsid w:val="09390B5B"/>
    <w:rsid w:val="16682C2B"/>
    <w:rsid w:val="36444B34"/>
    <w:rsid w:val="464A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unhideWhenUsed/>
    <w:qFormat/>
    <w:uiPriority w:val="99"/>
  </w:style>
  <w:style w:type="character" w:styleId="11">
    <w:name w:val="Hyperlink"/>
    <w:unhideWhenUsed/>
    <w:qFormat/>
    <w:uiPriority w:val="99"/>
    <w:rPr>
      <w:color w:val="0000FF"/>
      <w:u w:val="single"/>
    </w:rPr>
  </w:style>
  <w:style w:type="character" w:styleId="12">
    <w:name w:val="footnote reference"/>
    <w:unhideWhenUsed/>
    <w:qFormat/>
    <w:uiPriority w:val="99"/>
    <w:rPr>
      <w:vertAlign w:val="superscript"/>
    </w:rPr>
  </w:style>
  <w:style w:type="character" w:customStyle="1" w:styleId="13">
    <w:name w:val="页眉 Char"/>
    <w:basedOn w:val="9"/>
    <w:link w:val="4"/>
    <w:qFormat/>
    <w:uiPriority w:val="99"/>
    <w:rPr>
      <w:sz w:val="18"/>
      <w:szCs w:val="18"/>
    </w:rPr>
  </w:style>
  <w:style w:type="character" w:customStyle="1" w:styleId="14">
    <w:name w:val="页脚 Char"/>
    <w:basedOn w:val="9"/>
    <w:link w:val="3"/>
    <w:uiPriority w:val="99"/>
    <w:rPr>
      <w:sz w:val="18"/>
      <w:szCs w:val="18"/>
    </w:rPr>
  </w:style>
  <w:style w:type="character" w:customStyle="1" w:styleId="15">
    <w:name w:val="批注框文本 Char"/>
    <w:basedOn w:val="9"/>
    <w:link w:val="2"/>
    <w:qFormat/>
    <w:uiPriority w:val="99"/>
    <w:rPr>
      <w:sz w:val="18"/>
      <w:szCs w:val="18"/>
    </w:rPr>
  </w:style>
  <w:style w:type="character" w:customStyle="1" w:styleId="16">
    <w:name w:val="脚注文本 Char"/>
    <w:basedOn w:val="9"/>
    <w:link w:val="6"/>
    <w:qFormat/>
    <w:uiPriority w:val="99"/>
    <w:rPr>
      <w:rFonts w:ascii="Calibri" w:hAnsi="Calibri" w:eastAsia="宋体" w:cs="Times New Roman"/>
      <w:sz w:val="18"/>
      <w:szCs w:val="18"/>
    </w:rPr>
  </w:style>
  <w:style w:type="paragraph" w:customStyle="1" w:styleId="17">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9040-0E55-485C-A20C-BD31444C11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17611</Words>
  <Characters>20236</Characters>
  <Lines>186</Lines>
  <Paragraphs>52</Paragraphs>
  <TotalTime>3</TotalTime>
  <ScaleCrop>false</ScaleCrop>
  <LinksUpToDate>false</LinksUpToDate>
  <CharactersWithSpaces>20343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2020-01-10T11:07:00Z</dcterms:created>
  <dc:creator>user</dc:creator>
  <cp:lastModifiedBy>刚子</cp:lastModifiedBy>
  <dcterms:modified xsi:type="dcterms:W3CDTF">2024-01-19T02:04:24Z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05C537EE61314D388AF582B4FC252BBD</vt:lpwstr>
  </property>
</Properties>
</file>